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54" w:rsidRDefault="00C12491">
      <w:pPr>
        <w:adjustRightInd w:val="0"/>
        <w:snapToGrid w:val="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附表2</w:t>
      </w:r>
    </w:p>
    <w:p w:rsidR="00A21C54" w:rsidRDefault="00C12491" w:rsidP="00633771">
      <w:pPr>
        <w:spacing w:beforeLines="50" w:afterLines="50"/>
        <w:jc w:val="center"/>
        <w:rPr>
          <w:rFonts w:ascii="黑体" w:eastAsia="黑体"/>
          <w:sz w:val="36"/>
          <w:szCs w:val="36"/>
        </w:rPr>
      </w:pPr>
      <w:r>
        <w:rPr>
          <w:rFonts w:ascii="黑体" w:eastAsia="黑体" w:hint="eastAsia"/>
          <w:sz w:val="36"/>
          <w:szCs w:val="36"/>
        </w:rPr>
        <w:t>行业标准项目建议书</w:t>
      </w:r>
    </w:p>
    <w:tbl>
      <w:tblPr>
        <w:tblW w:w="909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76"/>
        <w:gridCol w:w="1080"/>
        <w:gridCol w:w="450"/>
        <w:gridCol w:w="26"/>
        <w:gridCol w:w="424"/>
        <w:gridCol w:w="1217"/>
        <w:gridCol w:w="1476"/>
        <w:gridCol w:w="7"/>
        <w:gridCol w:w="76"/>
        <w:gridCol w:w="1305"/>
        <w:gridCol w:w="44"/>
        <w:gridCol w:w="1517"/>
      </w:tblGrid>
      <w:tr w:rsidR="00A21C54">
        <w:trPr>
          <w:trHeight w:val="972"/>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pStyle w:val="a6"/>
              <w:pBdr>
                <w:bottom w:val="none" w:sz="0" w:space="0" w:color="auto"/>
              </w:pBdr>
              <w:tabs>
                <w:tab w:val="left" w:pos="420"/>
              </w:tabs>
              <w:snapToGrid/>
              <w:jc w:val="both"/>
              <w:rPr>
                <w:szCs w:val="24"/>
              </w:rPr>
            </w:pPr>
            <w:r>
              <w:rPr>
                <w:rFonts w:hint="eastAsia"/>
                <w:szCs w:val="24"/>
              </w:rPr>
              <w:t>建议项目名称</w:t>
            </w:r>
          </w:p>
          <w:p w:rsidR="00A21C54" w:rsidRDefault="00C12491">
            <w:pPr>
              <w:ind w:hanging="13"/>
              <w:rPr>
                <w:sz w:val="18"/>
              </w:rPr>
            </w:pPr>
            <w:r>
              <w:rPr>
                <w:sz w:val="18"/>
              </w:rPr>
              <w:t>(</w:t>
            </w:r>
            <w:r>
              <w:rPr>
                <w:rFonts w:hint="eastAsia"/>
                <w:sz w:val="18"/>
              </w:rPr>
              <w:t>中文</w:t>
            </w:r>
            <w:r>
              <w:rPr>
                <w:sz w:val="18"/>
              </w:rPr>
              <w:t>)</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A21C54" w:rsidRDefault="00C12491">
            <w:pPr>
              <w:pStyle w:val="aa"/>
              <w:framePr w:wrap="around"/>
              <w:rPr>
                <w:rFonts w:ascii="宋体" w:eastAsia="宋体" w:hAnsi="宋体" w:cs="宋体"/>
                <w:sz w:val="18"/>
                <w:szCs w:val="18"/>
              </w:rPr>
            </w:pPr>
            <w:r>
              <w:rPr>
                <w:rFonts w:ascii="宋体" w:eastAsia="宋体" w:hAnsi="宋体" w:cs="宋体" w:hint="eastAsia"/>
                <w:sz w:val="18"/>
                <w:szCs w:val="18"/>
              </w:rPr>
              <w:t>超薄玻璃下垂度测试方法 光电测距法</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szCs w:val="18"/>
              </w:rPr>
            </w:pPr>
            <w:r>
              <w:rPr>
                <w:rFonts w:hint="eastAsia"/>
                <w:sz w:val="18"/>
                <w:szCs w:val="18"/>
              </w:rPr>
              <w:t>建议项目名称</w:t>
            </w:r>
          </w:p>
          <w:p w:rsidR="00A21C54" w:rsidRDefault="00C12491">
            <w:pPr>
              <w:rPr>
                <w:sz w:val="15"/>
              </w:rPr>
            </w:pPr>
            <w:r>
              <w:rPr>
                <w:sz w:val="18"/>
                <w:szCs w:val="18"/>
              </w:rPr>
              <w:t>(</w:t>
            </w:r>
            <w:r>
              <w:rPr>
                <w:rFonts w:hint="eastAsia"/>
                <w:sz w:val="18"/>
                <w:szCs w:val="18"/>
              </w:rPr>
              <w:t>英文</w:t>
            </w:r>
            <w:r>
              <w:rPr>
                <w:sz w:val="18"/>
                <w:szCs w:val="18"/>
              </w:rPr>
              <w:t>)</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A21C54" w:rsidRDefault="00C12491">
            <w:pPr>
              <w:rPr>
                <w:sz w:val="18"/>
                <w:szCs w:val="18"/>
              </w:rPr>
            </w:pPr>
            <w:r>
              <w:rPr>
                <w:rFonts w:hint="eastAsia"/>
                <w:sz w:val="18"/>
                <w:szCs w:val="18"/>
              </w:rPr>
              <w:t>Test method for sag of Ultrathin glass</w:t>
            </w:r>
            <w:r>
              <w:rPr>
                <w:rFonts w:eastAsia="黑体"/>
                <w:sz w:val="18"/>
                <w:szCs w:val="18"/>
              </w:rPr>
              <w:t xml:space="preserve"> </w:t>
            </w:r>
            <w:r>
              <w:rPr>
                <w:rFonts w:eastAsia="黑体" w:hint="eastAsia"/>
                <w:sz w:val="18"/>
                <w:szCs w:val="18"/>
              </w:rPr>
              <w:t>e</w:t>
            </w:r>
            <w:r>
              <w:rPr>
                <w:rFonts w:eastAsia="黑体"/>
                <w:sz w:val="18"/>
                <w:szCs w:val="18"/>
              </w:rPr>
              <w:t>lectro-optical distance meters</w:t>
            </w:r>
            <w:r>
              <w:rPr>
                <w:sz w:val="18"/>
                <w:szCs w:val="18"/>
              </w:rPr>
              <w:t xml:space="preserve"> method</w:t>
            </w:r>
          </w:p>
        </w:tc>
      </w:tr>
      <w:tr w:rsidR="00A21C54">
        <w:trPr>
          <w:trHeight w:val="435"/>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制定或修订</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ind w:firstLineChars="100" w:firstLine="210"/>
              <w:rPr>
                <w:sz w:val="18"/>
              </w:rPr>
            </w:pPr>
            <w:r>
              <w:rPr>
                <w:rFonts w:ascii="宋体" w:hAnsi="宋体" w:hint="eastAsia"/>
                <w:szCs w:val="21"/>
              </w:rPr>
              <w:t>☑</w:t>
            </w:r>
            <w:r>
              <w:rPr>
                <w:rFonts w:hint="eastAsia"/>
                <w:sz w:val="18"/>
              </w:rPr>
              <w:t>制定</w:t>
            </w: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rFonts w:hint="eastAsia"/>
                <w:sz w:val="18"/>
              </w:rPr>
              <w:t>修订</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被修订标准号</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sz w:val="18"/>
              </w:rPr>
              <w:t>/</w:t>
            </w:r>
          </w:p>
        </w:tc>
      </w:tr>
      <w:tr w:rsidR="00A21C54">
        <w:trPr>
          <w:trHeight w:val="439"/>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采用程度</w:t>
            </w:r>
          </w:p>
        </w:tc>
        <w:tc>
          <w:tcPr>
            <w:tcW w:w="1080"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sz w:val="18"/>
              </w:rPr>
              <w:t>IDT</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sz w:val="18"/>
              </w:rPr>
              <w:t>MOD</w:t>
            </w:r>
          </w:p>
        </w:tc>
        <w:tc>
          <w:tcPr>
            <w:tcW w:w="1217"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sz w:val="18"/>
              </w:rPr>
              <w:t>NEQ</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采标号</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w:t>
            </w:r>
          </w:p>
        </w:tc>
      </w:tr>
      <w:tr w:rsidR="00A21C54">
        <w:trPr>
          <w:trHeight w:val="966"/>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pStyle w:val="a6"/>
              <w:pBdr>
                <w:bottom w:val="none" w:sz="0" w:space="0" w:color="auto"/>
              </w:pBdr>
              <w:tabs>
                <w:tab w:val="left" w:pos="420"/>
              </w:tabs>
              <w:snapToGrid/>
              <w:jc w:val="both"/>
              <w:rPr>
                <w:szCs w:val="24"/>
              </w:rPr>
            </w:pPr>
            <w:r>
              <w:rPr>
                <w:rFonts w:hint="eastAsia"/>
              </w:rPr>
              <w:t>国际标准</w:t>
            </w:r>
            <w:r>
              <w:rPr>
                <w:rFonts w:hint="eastAsia"/>
                <w:szCs w:val="24"/>
              </w:rPr>
              <w:t>名称</w:t>
            </w:r>
          </w:p>
          <w:p w:rsidR="00A21C54" w:rsidRDefault="00C12491">
            <w:pPr>
              <w:rPr>
                <w:sz w:val="18"/>
              </w:rPr>
            </w:pPr>
            <w:r>
              <w:rPr>
                <w:sz w:val="18"/>
              </w:rPr>
              <w:t>(</w:t>
            </w:r>
            <w:r>
              <w:rPr>
                <w:rFonts w:hint="eastAsia"/>
                <w:sz w:val="18"/>
              </w:rPr>
              <w:t>中文</w:t>
            </w:r>
            <w:r>
              <w:rPr>
                <w:sz w:val="18"/>
              </w:rPr>
              <w:t>)</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szCs w:val="18"/>
              </w:rPr>
            </w:pPr>
            <w:r>
              <w:rPr>
                <w:rFonts w:hint="eastAsia"/>
                <w:sz w:val="18"/>
                <w:szCs w:val="18"/>
              </w:rPr>
              <w:t>国际标准名称</w:t>
            </w:r>
          </w:p>
          <w:p w:rsidR="00A21C54" w:rsidRDefault="00C12491">
            <w:pPr>
              <w:rPr>
                <w:sz w:val="18"/>
              </w:rPr>
            </w:pPr>
            <w:r>
              <w:rPr>
                <w:sz w:val="18"/>
                <w:szCs w:val="18"/>
              </w:rPr>
              <w:t>(</w:t>
            </w:r>
            <w:r>
              <w:rPr>
                <w:rFonts w:hint="eastAsia"/>
                <w:sz w:val="18"/>
                <w:szCs w:val="18"/>
              </w:rPr>
              <w:t>英文</w:t>
            </w:r>
            <w:r>
              <w:rPr>
                <w:sz w:val="18"/>
                <w:szCs w:val="18"/>
              </w:rPr>
              <w:t>)</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w:t>
            </w:r>
          </w:p>
        </w:tc>
      </w:tr>
      <w:tr w:rsidR="00A21C54">
        <w:trPr>
          <w:trHeight w:val="439"/>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采用快速程序</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sz w:val="18"/>
              </w:rPr>
              <w:t>FTP</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快速程序代码</w:t>
            </w:r>
          </w:p>
          <w:p w:rsidR="00A21C54" w:rsidRDefault="00A21C54">
            <w:pPr>
              <w:rPr>
                <w:sz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sz w:val="18"/>
              </w:rPr>
              <w:t>B</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szCs w:val="21"/>
              </w:rPr>
              <w:t>□</w:t>
            </w:r>
            <w:r>
              <w:rPr>
                <w:sz w:val="18"/>
              </w:rPr>
              <w:t>C</w:t>
            </w:r>
          </w:p>
        </w:tc>
      </w:tr>
      <w:tr w:rsidR="00A21C54">
        <w:trPr>
          <w:trHeight w:val="654"/>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sz w:val="18"/>
              </w:rPr>
              <w:t>ICS</w:t>
            </w:r>
            <w:r>
              <w:rPr>
                <w:rFonts w:hint="eastAsia"/>
                <w:sz w:val="18"/>
              </w:rPr>
              <w:t>分类号</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sz w:val="18"/>
              </w:rPr>
              <w:t>81.040.</w:t>
            </w:r>
            <w:r>
              <w:rPr>
                <w:rFonts w:hint="eastAsia"/>
                <w:sz w:val="18"/>
              </w:rPr>
              <w:t>30</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中国标准分类号</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sz w:val="18"/>
              </w:rPr>
              <w:t>Q34</w:t>
            </w:r>
          </w:p>
        </w:tc>
      </w:tr>
      <w:tr w:rsidR="00A21C54">
        <w:trPr>
          <w:trHeight w:val="654"/>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起草单位</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ascii="宋体" w:hAnsi="宋体" w:hint="eastAsia"/>
                <w:kern w:val="0"/>
                <w:sz w:val="18"/>
                <w:szCs w:val="18"/>
              </w:rPr>
              <w:t>蚌埠中光电科技有限公司、中建材</w:t>
            </w:r>
            <w:r>
              <w:rPr>
                <w:rFonts w:hint="eastAsia"/>
                <w:sz w:val="18"/>
              </w:rPr>
              <w:t>蚌埠玻璃工业设计研究院有限公司、中国建材检验认证集团股份有限公司</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ind w:firstLineChars="100" w:firstLine="180"/>
              <w:rPr>
                <w:sz w:val="18"/>
              </w:rPr>
            </w:pPr>
            <w:r>
              <w:rPr>
                <w:rFonts w:hint="eastAsia"/>
                <w:sz w:val="18"/>
              </w:rPr>
              <w:t>计划起止时间</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2020</w:t>
            </w:r>
            <w:r>
              <w:rPr>
                <w:rFonts w:hint="eastAsia"/>
                <w:sz w:val="18"/>
              </w:rPr>
              <w:t>年</w:t>
            </w:r>
            <w:r>
              <w:rPr>
                <w:rFonts w:hint="eastAsia"/>
                <w:sz w:val="18"/>
              </w:rPr>
              <w:t>12</w:t>
            </w:r>
            <w:r>
              <w:rPr>
                <w:rFonts w:hint="eastAsia"/>
                <w:sz w:val="18"/>
              </w:rPr>
              <w:t>月</w:t>
            </w:r>
            <w:r>
              <w:rPr>
                <w:rFonts w:hint="eastAsia"/>
                <w:sz w:val="18"/>
              </w:rPr>
              <w:t>-2022</w:t>
            </w:r>
            <w:r>
              <w:rPr>
                <w:rFonts w:hint="eastAsia"/>
                <w:sz w:val="18"/>
              </w:rPr>
              <w:t>年</w:t>
            </w:r>
            <w:r>
              <w:rPr>
                <w:rFonts w:hint="eastAsia"/>
                <w:sz w:val="18"/>
              </w:rPr>
              <w:t>12</w:t>
            </w:r>
            <w:r>
              <w:rPr>
                <w:rFonts w:hint="eastAsia"/>
                <w:sz w:val="18"/>
              </w:rPr>
              <w:t>月</w:t>
            </w:r>
          </w:p>
        </w:tc>
      </w:tr>
      <w:tr w:rsidR="00A21C54">
        <w:trPr>
          <w:trHeight w:val="620"/>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参加单位</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A21C54" w:rsidRDefault="00A21C54">
            <w:pPr>
              <w:rPr>
                <w:sz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jc w:val="center"/>
              <w:rPr>
                <w:sz w:val="18"/>
              </w:rPr>
            </w:pPr>
            <w:r>
              <w:rPr>
                <w:rFonts w:hint="eastAsia"/>
                <w:sz w:val="18"/>
              </w:rPr>
              <w:t>体系编号</w:t>
            </w:r>
          </w:p>
        </w:tc>
        <w:tc>
          <w:tcPr>
            <w:tcW w:w="2949" w:type="dxa"/>
            <w:gridSpan w:val="5"/>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1</w:t>
            </w:r>
            <w:r>
              <w:rPr>
                <w:sz w:val="18"/>
              </w:rPr>
              <w:t>-05.1</w:t>
            </w:r>
            <w:r w:rsidR="00193A4A">
              <w:rPr>
                <w:rFonts w:hint="eastAsia"/>
                <w:sz w:val="18"/>
              </w:rPr>
              <w:t>.1</w:t>
            </w:r>
          </w:p>
        </w:tc>
      </w:tr>
      <w:tr w:rsidR="00A21C54">
        <w:trPr>
          <w:trHeight w:val="1072"/>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目的、意义或必要性</w:t>
            </w:r>
          </w:p>
        </w:tc>
        <w:tc>
          <w:tcPr>
            <w:tcW w:w="7622" w:type="dxa"/>
            <w:gridSpan w:val="11"/>
            <w:tcBorders>
              <w:top w:val="single" w:sz="4" w:space="0" w:color="auto"/>
              <w:left w:val="single" w:sz="4" w:space="0" w:color="auto"/>
              <w:bottom w:val="single" w:sz="4" w:space="0" w:color="auto"/>
              <w:right w:val="single" w:sz="4" w:space="0" w:color="auto"/>
            </w:tcBorders>
            <w:vAlign w:val="center"/>
          </w:tcPr>
          <w:p w:rsidR="00A21C54" w:rsidRDefault="00C12491" w:rsidP="000C0843">
            <w:pPr>
              <w:ind w:firstLineChars="200" w:firstLine="360"/>
              <w:rPr>
                <w:rFonts w:ascii="宋体" w:hAnsi="宋体" w:cs="宋体"/>
                <w:sz w:val="18"/>
                <w:szCs w:val="21"/>
              </w:rPr>
            </w:pPr>
            <w:r>
              <w:rPr>
                <w:rFonts w:ascii="宋体" w:hAnsi="宋体" w:cs="宋体" w:hint="eastAsia"/>
                <w:sz w:val="18"/>
                <w:szCs w:val="21"/>
              </w:rPr>
              <w:t>本标准的目的主要是制定超薄玻璃下垂度的试验方法，解决当前玻璃下垂度测量精度不够高的问题。其制定符合国办发[2016]34号《国务院办公厅关于促进建材工业稳增长调结构增效益的指导意见》关于“发展高端玻璃产品”的要求；</w:t>
            </w:r>
            <w:r w:rsidR="000C0843">
              <w:rPr>
                <w:rFonts w:ascii="宋体" w:hAnsi="宋体" w:cs="宋体" w:hint="eastAsia"/>
                <w:sz w:val="18"/>
                <w:szCs w:val="21"/>
              </w:rPr>
              <w:t>符合《原材料工业质量提升三年行动方案》（2</w:t>
            </w:r>
            <w:r w:rsidR="000C0843">
              <w:rPr>
                <w:rFonts w:ascii="宋体" w:hAnsi="宋体" w:cs="宋体"/>
                <w:sz w:val="18"/>
                <w:szCs w:val="21"/>
              </w:rPr>
              <w:t>018</w:t>
            </w:r>
            <w:r w:rsidR="000C0843">
              <w:rPr>
                <w:rFonts w:ascii="宋体" w:hAnsi="宋体" w:cs="宋体" w:hint="eastAsia"/>
                <w:sz w:val="18"/>
                <w:szCs w:val="21"/>
              </w:rPr>
              <w:t>-</w:t>
            </w:r>
            <w:r w:rsidR="000C0843">
              <w:rPr>
                <w:rFonts w:ascii="宋体" w:hAnsi="宋体" w:cs="宋体"/>
                <w:sz w:val="18"/>
                <w:szCs w:val="21"/>
              </w:rPr>
              <w:t>2020年</w:t>
            </w:r>
            <w:r w:rsidR="000C0843">
              <w:rPr>
                <w:rFonts w:ascii="宋体" w:hAnsi="宋体" w:cs="宋体" w:hint="eastAsia"/>
                <w:sz w:val="18"/>
                <w:szCs w:val="21"/>
              </w:rPr>
              <w:t>）关于建材行业中提到的建材部品化加速推进，水泥、平板玻璃质量保障能力大幅提升，完善标准供给体系，提高标准的先进性、协同性、引领性。</w:t>
            </w:r>
            <w:r w:rsidR="00801DF9">
              <w:rPr>
                <w:rFonts w:ascii="宋体" w:hAnsi="宋体" w:cs="宋体" w:hint="eastAsia"/>
                <w:sz w:val="18"/>
                <w:szCs w:val="21"/>
              </w:rPr>
              <w:t>超薄玻璃属于</w:t>
            </w:r>
            <w:r w:rsidR="00CD5A87">
              <w:rPr>
                <w:rFonts w:ascii="宋体" w:hAnsi="宋体" w:cs="宋体" w:hint="eastAsia"/>
                <w:sz w:val="18"/>
                <w:szCs w:val="21"/>
              </w:rPr>
              <w:t>厚度小于1</w:t>
            </w:r>
            <w:r w:rsidR="00CD5A87">
              <w:rPr>
                <w:rFonts w:ascii="宋体" w:hAnsi="宋体" w:cs="宋体"/>
                <w:sz w:val="18"/>
                <w:szCs w:val="21"/>
              </w:rPr>
              <w:t>.1mm的平板玻璃</w:t>
            </w:r>
            <w:r w:rsidR="00CD5A87">
              <w:rPr>
                <w:rFonts w:ascii="宋体" w:hAnsi="宋体" w:cs="宋体" w:hint="eastAsia"/>
                <w:sz w:val="18"/>
                <w:szCs w:val="21"/>
              </w:rPr>
              <w:t>，</w:t>
            </w:r>
            <w:r w:rsidR="00CD5A87">
              <w:rPr>
                <w:rFonts w:ascii="宋体" w:hAnsi="宋体" w:cs="宋体"/>
                <w:sz w:val="18"/>
                <w:szCs w:val="21"/>
              </w:rPr>
              <w:t>通常应用于电子显示行业</w:t>
            </w:r>
            <w:r w:rsidR="00CD5A87">
              <w:rPr>
                <w:rFonts w:ascii="宋体" w:hAnsi="宋体" w:cs="宋体" w:hint="eastAsia"/>
                <w:sz w:val="18"/>
                <w:szCs w:val="21"/>
              </w:rPr>
              <w:t>。</w:t>
            </w:r>
            <w:r w:rsidR="00073B48">
              <w:rPr>
                <w:rFonts w:ascii="宋体" w:hAnsi="宋体" w:cs="宋体" w:hint="eastAsia"/>
                <w:sz w:val="18"/>
                <w:szCs w:val="21"/>
              </w:rPr>
              <w:t>目前</w:t>
            </w:r>
            <w:bookmarkStart w:id="0" w:name="_GoBack"/>
            <w:bookmarkEnd w:id="0"/>
            <w:r>
              <w:rPr>
                <w:rFonts w:ascii="宋体" w:hAnsi="宋体" w:cs="宋体" w:hint="eastAsia"/>
                <w:sz w:val="18"/>
                <w:szCs w:val="21"/>
              </w:rPr>
              <w:t>超薄玻璃发展趋势为向更大、更薄的方向发展、大尺寸超薄玻璃在加工过程中不可避免会出现下垂现象，现有标准GB/32647-2016《平板显示器基板玻璃规范》5.4挠度规定将待测样品按照要求放置到挠度支架上，将样品沿流向/非流向方向分别支撑起来。手工测量样品中央因自重下垂的距离。使用最小刻度为1mm的钢板尺测量。以上方法有以下的局限性：</w:t>
            </w:r>
          </w:p>
          <w:p w:rsidR="00A21C54" w:rsidRDefault="00C12491">
            <w:pPr>
              <w:ind w:firstLineChars="200" w:firstLine="360"/>
              <w:rPr>
                <w:rFonts w:ascii="宋体" w:hAnsi="宋体" w:cs="宋体"/>
                <w:sz w:val="18"/>
                <w:szCs w:val="21"/>
              </w:rPr>
            </w:pPr>
            <w:r>
              <w:rPr>
                <w:rFonts w:ascii="宋体" w:hAnsi="宋体" w:cs="宋体" w:hint="eastAsia"/>
                <w:sz w:val="18"/>
                <w:szCs w:val="21"/>
              </w:rPr>
              <w:t>1、只能检测玻璃样品两个断面下垂量数据。</w:t>
            </w:r>
          </w:p>
          <w:p w:rsidR="00A21C54" w:rsidRDefault="00C12491">
            <w:pPr>
              <w:ind w:firstLineChars="200" w:firstLine="360"/>
              <w:rPr>
                <w:rFonts w:ascii="宋体" w:hAnsi="宋体" w:cs="宋体"/>
                <w:sz w:val="18"/>
                <w:szCs w:val="21"/>
              </w:rPr>
            </w:pPr>
            <w:r>
              <w:rPr>
                <w:rFonts w:ascii="宋体" w:hAnsi="宋体" w:cs="宋体" w:hint="eastAsia"/>
                <w:sz w:val="18"/>
                <w:szCs w:val="21"/>
              </w:rPr>
              <w:t>2、测量过程钢板尺接触到玻璃引起玻璃抖动产生测试误差。</w:t>
            </w:r>
          </w:p>
          <w:p w:rsidR="00A21C54" w:rsidRDefault="00C12491">
            <w:pPr>
              <w:ind w:firstLineChars="200" w:firstLine="360"/>
              <w:rPr>
                <w:rFonts w:ascii="宋体" w:hAnsi="宋体" w:cs="宋体"/>
                <w:sz w:val="18"/>
                <w:szCs w:val="21"/>
              </w:rPr>
            </w:pPr>
            <w:r>
              <w:rPr>
                <w:rFonts w:ascii="宋体" w:hAnsi="宋体" w:cs="宋体" w:hint="eastAsia"/>
                <w:sz w:val="18"/>
                <w:szCs w:val="21"/>
              </w:rPr>
              <w:t>3、使用钢板尺测量存在人工估值误差。综上所述现有方法已经不能满足大尺寸超薄玻璃下垂量的测定。</w:t>
            </w:r>
          </w:p>
          <w:p w:rsidR="00A21C54" w:rsidRPr="008A0D21" w:rsidRDefault="00C12491" w:rsidP="008A0D21">
            <w:pPr>
              <w:ind w:firstLine="360"/>
              <w:rPr>
                <w:rFonts w:ascii="宋体" w:hAnsi="宋体" w:cs="宋体"/>
                <w:sz w:val="18"/>
                <w:szCs w:val="18"/>
              </w:rPr>
            </w:pPr>
            <w:r w:rsidRPr="008A0D21">
              <w:rPr>
                <w:rFonts w:ascii="宋体" w:hAnsi="宋体" w:cs="宋体" w:hint="eastAsia"/>
                <w:sz w:val="18"/>
                <w:szCs w:val="18"/>
              </w:rPr>
              <w:t>本标准提出一种使用光电测距仪测量大尺寸超薄玻璃基板下垂度的检测方法，相对于GB/T32647-2016标准有以下的优点：</w:t>
            </w:r>
          </w:p>
          <w:p w:rsidR="00A21C54" w:rsidRPr="008A0D21" w:rsidRDefault="00C12491" w:rsidP="008A0D21">
            <w:pPr>
              <w:ind w:firstLine="360"/>
              <w:rPr>
                <w:rFonts w:ascii="宋体" w:hAnsi="宋体" w:cs="宋体"/>
                <w:sz w:val="18"/>
                <w:szCs w:val="18"/>
              </w:rPr>
            </w:pPr>
            <w:r w:rsidRPr="008A0D21">
              <w:rPr>
                <w:rFonts w:ascii="宋体" w:hAnsi="宋体" w:cs="宋体" w:hint="eastAsia"/>
                <w:sz w:val="18"/>
                <w:szCs w:val="18"/>
              </w:rPr>
              <w:t>1、解决以前检测方法只能测试基板两侧断面数据的弊端，可以连续测玻璃底部中心线两个断面之间一条线的下垂度数据，找出下垂度的最大数值。</w:t>
            </w:r>
          </w:p>
          <w:p w:rsidR="00A21C54" w:rsidRPr="008A0D21" w:rsidRDefault="00C12491" w:rsidP="008A0D21">
            <w:pPr>
              <w:ind w:firstLine="360"/>
              <w:rPr>
                <w:rFonts w:ascii="宋体" w:hAnsi="宋体" w:cs="宋体"/>
                <w:sz w:val="18"/>
                <w:szCs w:val="18"/>
              </w:rPr>
            </w:pPr>
            <w:r w:rsidRPr="008A0D21">
              <w:rPr>
                <w:rFonts w:ascii="宋体" w:hAnsi="宋体" w:cs="宋体" w:hint="eastAsia"/>
                <w:sz w:val="18"/>
                <w:szCs w:val="18"/>
              </w:rPr>
              <w:t>2使用光电测距仪测量玻璃下垂度，测试过程不接触玻璃，避免测试过程中玻璃抖动产生测试误差。</w:t>
            </w:r>
          </w:p>
          <w:p w:rsidR="00A21C54" w:rsidRPr="008A0D21" w:rsidRDefault="00C12491" w:rsidP="008A0D21">
            <w:pPr>
              <w:ind w:firstLine="360"/>
              <w:rPr>
                <w:rFonts w:ascii="宋体" w:hAnsi="宋体" w:cs="宋体"/>
                <w:sz w:val="18"/>
                <w:szCs w:val="18"/>
              </w:rPr>
            </w:pPr>
            <w:r w:rsidRPr="008A0D21">
              <w:rPr>
                <w:rFonts w:ascii="宋体" w:hAnsi="宋体" w:cs="宋体" w:hint="eastAsia"/>
                <w:sz w:val="18"/>
                <w:szCs w:val="18"/>
              </w:rPr>
              <w:t>3、测量过程使用光电测距仪避免人工估值误差。</w:t>
            </w:r>
          </w:p>
          <w:p w:rsidR="00A21C54" w:rsidRDefault="00C12491" w:rsidP="008A0D21">
            <w:pPr>
              <w:ind w:firstLine="360"/>
              <w:rPr>
                <w:rFonts w:ascii="宋体" w:hAnsi="宋体" w:cs="宋体"/>
                <w:sz w:val="18"/>
                <w:szCs w:val="21"/>
              </w:rPr>
            </w:pPr>
            <w:r w:rsidRPr="008A0D21">
              <w:rPr>
                <w:rFonts w:ascii="宋体" w:hAnsi="宋体" w:cs="宋体" w:hint="eastAsia"/>
                <w:sz w:val="18"/>
                <w:szCs w:val="18"/>
              </w:rPr>
              <w:lastRenderedPageBreak/>
              <w:t>4、使用精度更高的光电测距仪（目前已可以达到微米级测量）取代精度较差钢板尺（毫米级测量），测量结果精度更高。</w:t>
            </w:r>
          </w:p>
        </w:tc>
      </w:tr>
      <w:tr w:rsidR="00A21C54">
        <w:trPr>
          <w:trHeight w:val="1545"/>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lastRenderedPageBreak/>
              <w:t>范围和主要</w:t>
            </w:r>
          </w:p>
          <w:p w:rsidR="00A21C54" w:rsidRDefault="00C12491">
            <w:pPr>
              <w:rPr>
                <w:sz w:val="18"/>
              </w:rPr>
            </w:pPr>
            <w:r>
              <w:rPr>
                <w:rFonts w:hint="eastAsia"/>
                <w:sz w:val="18"/>
              </w:rPr>
              <w:t>技术内容</w:t>
            </w:r>
          </w:p>
        </w:tc>
        <w:tc>
          <w:tcPr>
            <w:tcW w:w="7622" w:type="dxa"/>
            <w:gridSpan w:val="11"/>
            <w:tcBorders>
              <w:top w:val="single" w:sz="4" w:space="0" w:color="auto"/>
              <w:left w:val="single" w:sz="4" w:space="0" w:color="auto"/>
              <w:bottom w:val="single" w:sz="4" w:space="0" w:color="auto"/>
              <w:right w:val="single" w:sz="4" w:space="0" w:color="auto"/>
            </w:tcBorders>
            <w:vAlign w:val="center"/>
          </w:tcPr>
          <w:p w:rsidR="00A21C54" w:rsidRPr="00394715" w:rsidRDefault="00C12491" w:rsidP="00394715">
            <w:pPr>
              <w:ind w:firstLine="360"/>
              <w:rPr>
                <w:rFonts w:ascii="宋体" w:hAnsi="宋体" w:cs="宋体"/>
                <w:sz w:val="18"/>
                <w:szCs w:val="18"/>
              </w:rPr>
            </w:pPr>
            <w:r w:rsidRPr="00394715">
              <w:rPr>
                <w:rFonts w:ascii="宋体" w:hAnsi="宋体" w:cs="宋体" w:hint="eastAsia"/>
                <w:sz w:val="18"/>
                <w:szCs w:val="18"/>
              </w:rPr>
              <w:t>本标准规定超薄玻璃下垂度的检测方法术语和定义、测试原理、测试设备及要求、试样要求、测试与结果、试验报告等。</w:t>
            </w:r>
          </w:p>
          <w:p w:rsidR="00A21C54" w:rsidRPr="00394715" w:rsidRDefault="00C12491" w:rsidP="00394715">
            <w:pPr>
              <w:ind w:firstLine="360"/>
              <w:rPr>
                <w:rFonts w:ascii="宋体" w:hAnsi="宋体" w:cs="宋体"/>
                <w:sz w:val="18"/>
                <w:szCs w:val="18"/>
              </w:rPr>
            </w:pPr>
            <w:r w:rsidRPr="00394715">
              <w:rPr>
                <w:rFonts w:ascii="宋体" w:hAnsi="宋体" w:cs="宋体" w:hint="eastAsia"/>
                <w:sz w:val="18"/>
                <w:szCs w:val="18"/>
              </w:rPr>
              <w:t>本标准主要适用于超薄玻璃下垂度的测试，其他玻璃、柔性玻璃、陶瓷和塑料等类似材料检测也可参考使用本标准所述检测方法。</w:t>
            </w:r>
          </w:p>
          <w:p w:rsidR="001F2AE1" w:rsidRPr="00394715" w:rsidRDefault="002B2DAA" w:rsidP="00394715">
            <w:pPr>
              <w:ind w:firstLine="360"/>
              <w:rPr>
                <w:rFonts w:ascii="宋体" w:hAnsi="宋体" w:cs="宋体"/>
                <w:sz w:val="18"/>
                <w:szCs w:val="18"/>
              </w:rPr>
            </w:pPr>
            <w:r w:rsidRPr="00394715">
              <w:rPr>
                <w:rFonts w:ascii="宋体" w:hAnsi="宋体" w:cs="宋体" w:hint="eastAsia"/>
                <w:sz w:val="18"/>
                <w:szCs w:val="18"/>
              </w:rPr>
              <w:t>本标准的</w:t>
            </w:r>
            <w:r w:rsidR="00C12491" w:rsidRPr="00394715">
              <w:rPr>
                <w:rFonts w:ascii="宋体" w:hAnsi="宋体" w:cs="宋体" w:hint="eastAsia"/>
                <w:sz w:val="18"/>
                <w:szCs w:val="18"/>
              </w:rPr>
              <w:t>主要技术内容：</w:t>
            </w:r>
          </w:p>
          <w:p w:rsidR="005320A6" w:rsidRPr="008029AE" w:rsidRDefault="00193A4A" w:rsidP="00193A4A">
            <w:pPr>
              <w:ind w:firstLine="360"/>
              <w:rPr>
                <w:rFonts w:ascii="宋体" w:hAnsi="宋体" w:cs="宋体"/>
                <w:sz w:val="18"/>
                <w:szCs w:val="18"/>
              </w:rPr>
            </w:pPr>
            <w:r>
              <w:rPr>
                <w:rFonts w:ascii="宋体" w:hAnsi="宋体" w:cs="宋体" w:hint="eastAsia"/>
                <w:sz w:val="18"/>
                <w:szCs w:val="18"/>
              </w:rPr>
              <w:t>本标准采用光电测距法对超薄玻璃下垂度进行</w:t>
            </w:r>
            <w:r w:rsidRPr="00394715">
              <w:rPr>
                <w:rFonts w:ascii="宋体" w:hAnsi="宋体" w:cs="宋体" w:hint="eastAsia"/>
                <w:sz w:val="18"/>
                <w:szCs w:val="18"/>
              </w:rPr>
              <w:t>检测</w:t>
            </w:r>
            <w:r>
              <w:rPr>
                <w:rFonts w:ascii="宋体" w:hAnsi="宋体" w:cs="宋体" w:hint="eastAsia"/>
                <w:sz w:val="18"/>
                <w:szCs w:val="18"/>
              </w:rPr>
              <w:t>，并对试样的形状和尺寸、试样加工方法等进行规定。光电测距法是将</w:t>
            </w:r>
            <w:r w:rsidRPr="00394715">
              <w:rPr>
                <w:rFonts w:ascii="宋体" w:hAnsi="宋体" w:cs="宋体"/>
                <w:sz w:val="18"/>
                <w:szCs w:val="18"/>
              </w:rPr>
              <w:t>制备好的试样放在激光测距仪</w:t>
            </w:r>
            <w:r>
              <w:rPr>
                <w:rFonts w:ascii="宋体" w:hAnsi="宋体" w:cs="宋体" w:hint="eastAsia"/>
                <w:sz w:val="18"/>
                <w:szCs w:val="18"/>
              </w:rPr>
              <w:t>的</w:t>
            </w:r>
            <w:r w:rsidRPr="00394715">
              <w:rPr>
                <w:rFonts w:ascii="宋体" w:hAnsi="宋体" w:cs="宋体"/>
                <w:sz w:val="18"/>
                <w:szCs w:val="18"/>
              </w:rPr>
              <w:t>测试支架上</w:t>
            </w:r>
            <w:r>
              <w:rPr>
                <w:rFonts w:ascii="宋体" w:hAnsi="宋体" w:cs="宋体" w:hint="eastAsia"/>
                <w:sz w:val="18"/>
                <w:szCs w:val="18"/>
              </w:rPr>
              <w:t>，</w:t>
            </w:r>
            <w:r w:rsidRPr="00394715">
              <w:rPr>
                <w:rFonts w:ascii="宋体" w:hAnsi="宋体" w:cs="宋体"/>
                <w:sz w:val="18"/>
                <w:szCs w:val="18"/>
              </w:rPr>
              <w:t>在试样玻璃中线区域使用激光测距仪测量测试支架基座到玻璃下表面的距离，</w:t>
            </w:r>
            <w:r>
              <w:rPr>
                <w:rFonts w:ascii="宋体" w:hAnsi="宋体" w:cs="宋体" w:hint="eastAsia"/>
                <w:sz w:val="18"/>
                <w:szCs w:val="18"/>
              </w:rPr>
              <w:t>并通过公式计算</w:t>
            </w:r>
            <w:r w:rsidRPr="00394715">
              <w:rPr>
                <w:rFonts w:ascii="宋体" w:hAnsi="宋体" w:cs="宋体" w:hint="eastAsia"/>
                <w:sz w:val="18"/>
                <w:szCs w:val="18"/>
              </w:rPr>
              <w:t>玻璃下垂度。</w:t>
            </w:r>
          </w:p>
        </w:tc>
      </w:tr>
      <w:tr w:rsidR="00A21C54">
        <w:trPr>
          <w:trHeight w:val="1772"/>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rPr>
                <w:sz w:val="18"/>
              </w:rPr>
            </w:pPr>
            <w:r>
              <w:rPr>
                <w:rFonts w:hint="eastAsia"/>
                <w:sz w:val="18"/>
              </w:rPr>
              <w:t>国内外情况</w:t>
            </w:r>
          </w:p>
          <w:p w:rsidR="00A21C54" w:rsidRDefault="00C12491">
            <w:pPr>
              <w:rPr>
                <w:sz w:val="18"/>
              </w:rPr>
            </w:pPr>
            <w:r>
              <w:rPr>
                <w:rFonts w:hint="eastAsia"/>
                <w:sz w:val="18"/>
              </w:rPr>
              <w:t>简要说明</w:t>
            </w:r>
          </w:p>
        </w:tc>
        <w:tc>
          <w:tcPr>
            <w:tcW w:w="7622" w:type="dxa"/>
            <w:gridSpan w:val="11"/>
            <w:tcBorders>
              <w:top w:val="single" w:sz="4" w:space="0" w:color="auto"/>
              <w:left w:val="single" w:sz="4" w:space="0" w:color="auto"/>
              <w:bottom w:val="single" w:sz="4" w:space="0" w:color="auto"/>
              <w:right w:val="single" w:sz="4" w:space="0" w:color="auto"/>
            </w:tcBorders>
            <w:vAlign w:val="center"/>
          </w:tcPr>
          <w:p w:rsidR="00997197" w:rsidRPr="00DF588D" w:rsidRDefault="00096D0D" w:rsidP="003A24F7">
            <w:pPr>
              <w:rPr>
                <w:rFonts w:ascii="宋体" w:hAnsi="宋体" w:cs="宋体"/>
                <w:sz w:val="18"/>
                <w:szCs w:val="21"/>
              </w:rPr>
            </w:pPr>
            <w:r w:rsidRPr="00DF588D">
              <w:rPr>
                <w:rFonts w:ascii="宋体" w:hAnsi="宋体" w:cs="宋体" w:hint="eastAsia"/>
                <w:sz w:val="18"/>
                <w:szCs w:val="21"/>
              </w:rPr>
              <w:t>1、</w:t>
            </w:r>
            <w:r w:rsidR="00997197" w:rsidRPr="003A24F7">
              <w:rPr>
                <w:rFonts w:ascii="宋体" w:hAnsi="宋体" w:cs="宋体" w:hint="eastAsia"/>
                <w:sz w:val="18"/>
                <w:szCs w:val="21"/>
              </w:rPr>
              <w:t>内外对该技术研究情况简要说明：</w:t>
            </w:r>
          </w:p>
          <w:p w:rsidR="00A21C54" w:rsidRPr="008029AE" w:rsidRDefault="00C12491" w:rsidP="008029AE">
            <w:pPr>
              <w:ind w:firstLineChars="200" w:firstLine="360"/>
              <w:rPr>
                <w:rFonts w:ascii="宋体" w:hAnsi="宋体" w:cs="宋体"/>
                <w:sz w:val="18"/>
                <w:szCs w:val="18"/>
              </w:rPr>
            </w:pPr>
            <w:r w:rsidRPr="008029AE">
              <w:rPr>
                <w:rFonts w:ascii="宋体" w:hAnsi="宋体" w:cs="宋体" w:hint="eastAsia"/>
                <w:sz w:val="18"/>
                <w:szCs w:val="18"/>
              </w:rPr>
              <w:t>因技术保密原因尚未检索到相关国际标准。国内同行企业目前使用</w:t>
            </w:r>
            <w:r w:rsidRPr="008029AE">
              <w:rPr>
                <w:rFonts w:hint="eastAsia"/>
                <w:sz w:val="18"/>
                <w:szCs w:val="18"/>
              </w:rPr>
              <w:t>GB/T32647-2016</w:t>
            </w:r>
            <w:r w:rsidRPr="008029AE">
              <w:rPr>
                <w:rFonts w:hint="eastAsia"/>
                <w:sz w:val="18"/>
                <w:szCs w:val="18"/>
              </w:rPr>
              <w:t>《平板显示器基板玻璃规范》</w:t>
            </w:r>
            <w:r w:rsidRPr="008029AE">
              <w:rPr>
                <w:rFonts w:hint="eastAsia"/>
                <w:sz w:val="18"/>
                <w:szCs w:val="18"/>
              </w:rPr>
              <w:t>5.4</w:t>
            </w:r>
            <w:r w:rsidRPr="008029AE">
              <w:rPr>
                <w:rFonts w:hint="eastAsia"/>
                <w:sz w:val="18"/>
                <w:szCs w:val="18"/>
              </w:rPr>
              <w:t>挠度所述的方法进行测量，</w:t>
            </w:r>
            <w:r w:rsidRPr="008029AE">
              <w:rPr>
                <w:rFonts w:ascii="宋体" w:hAnsi="宋体" w:cs="宋体" w:hint="eastAsia"/>
                <w:sz w:val="18"/>
                <w:szCs w:val="21"/>
              </w:rPr>
              <w:t>不能满足电子显示用超薄玻璃下垂度的测量。本标准从测量方法、测量工具的角度加以改进以优化超薄玻璃下垂度的测定，提供更准确的测试结果，更合理的测试过程。本标准选用的核心检测器件光电测距仪在国内已实现产业化和批量化生产，具有完全自主知识产权。本标准所述技术已在本公司8.5代TFT-LCD玻璃基板生产线，蚌埠中建材信息显示有限公司的超薄触控玻璃基板生产线和中建材（蚌埠）光电材料有限公司的高强显示盖（背）板玻璃生产线品质管控进行应用，检测结果满足产品品控要求。</w:t>
            </w:r>
          </w:p>
          <w:p w:rsidR="00997197" w:rsidRPr="00DF588D" w:rsidRDefault="00C12491" w:rsidP="003D6479">
            <w:pPr>
              <w:rPr>
                <w:rFonts w:ascii="宋体" w:hAnsi="宋体" w:cs="宋体"/>
                <w:sz w:val="18"/>
                <w:szCs w:val="21"/>
              </w:rPr>
            </w:pPr>
            <w:r w:rsidRPr="003A24F7">
              <w:rPr>
                <w:rFonts w:ascii="宋体" w:hAnsi="宋体" w:cs="宋体" w:hint="eastAsia"/>
                <w:sz w:val="18"/>
                <w:szCs w:val="21"/>
              </w:rPr>
              <w:t>2、</w:t>
            </w:r>
            <w:r w:rsidR="00997197" w:rsidRPr="003A24F7">
              <w:rPr>
                <w:rFonts w:hint="eastAsia"/>
                <w:sz w:val="18"/>
              </w:rPr>
              <w:t>项目与国际标准或国外先进标准采用程度的考虑：</w:t>
            </w:r>
          </w:p>
          <w:p w:rsidR="00A21C54" w:rsidRDefault="00C12491">
            <w:pPr>
              <w:ind w:firstLineChars="200" w:firstLine="360"/>
              <w:rPr>
                <w:rFonts w:ascii="宋体" w:hAnsi="宋体" w:cs="宋体"/>
                <w:sz w:val="18"/>
                <w:szCs w:val="21"/>
              </w:rPr>
            </w:pPr>
            <w:r>
              <w:rPr>
                <w:rFonts w:ascii="宋体" w:hAnsi="宋体" w:cs="宋体" w:hint="eastAsia"/>
                <w:sz w:val="18"/>
                <w:szCs w:val="21"/>
              </w:rPr>
              <w:t>国外先进同行企业康宁、肖特等已制定相关标准，因技术保密尚未公开，在国内不能检索。推荐性国家标准GB/T32647-2016《平板显示器基板玻璃规范》5.4挠度对此有规定，已不能满足高精度超薄玻璃下垂度的测量。本标准从测量方法、测量工具的角度加以改进以优化超薄玻璃下垂度的测量，提供更合理的测试过程、更精确的测试结果。</w:t>
            </w:r>
          </w:p>
          <w:p w:rsidR="00997197" w:rsidRPr="00DF588D" w:rsidRDefault="00C12491" w:rsidP="003D6479">
            <w:pPr>
              <w:rPr>
                <w:rFonts w:ascii="宋体" w:hAnsi="宋体" w:cs="宋体"/>
                <w:sz w:val="18"/>
                <w:szCs w:val="21"/>
              </w:rPr>
            </w:pPr>
            <w:r w:rsidRPr="00DF588D">
              <w:rPr>
                <w:rFonts w:ascii="宋体" w:hAnsi="宋体" w:cs="宋体" w:hint="eastAsia"/>
                <w:sz w:val="18"/>
                <w:szCs w:val="21"/>
              </w:rPr>
              <w:t>3、</w:t>
            </w:r>
            <w:r w:rsidR="00997197" w:rsidRPr="003A24F7">
              <w:rPr>
                <w:rFonts w:hint="eastAsia"/>
                <w:sz w:val="18"/>
              </w:rPr>
              <w:t>与国内相关标准间的关系：</w:t>
            </w:r>
          </w:p>
          <w:p w:rsidR="00A21C54" w:rsidRDefault="00C12491">
            <w:pPr>
              <w:ind w:firstLineChars="200" w:firstLine="360"/>
              <w:rPr>
                <w:rFonts w:ascii="宋体" w:hAnsi="宋体" w:cs="宋体"/>
                <w:sz w:val="18"/>
                <w:szCs w:val="21"/>
              </w:rPr>
            </w:pPr>
            <w:r>
              <w:rPr>
                <w:rFonts w:ascii="宋体" w:hAnsi="宋体" w:cs="宋体"/>
                <w:sz w:val="18"/>
                <w:szCs w:val="21"/>
              </w:rPr>
              <w:t>超薄玻璃下垂度测试方法与现行法律、法规、强制性国家标准及相关标准均无冲突及重复，与现有标准是相互支撑的关系，总体是对现有标准体系有效补充和完善。</w:t>
            </w:r>
          </w:p>
          <w:p w:rsidR="00997197" w:rsidRPr="003A24F7" w:rsidRDefault="000427FA" w:rsidP="003D6479">
            <w:pPr>
              <w:rPr>
                <w:sz w:val="18"/>
              </w:rPr>
            </w:pPr>
            <w:r w:rsidRPr="00242652">
              <w:rPr>
                <w:rFonts w:hint="eastAsia"/>
                <w:sz w:val="18"/>
              </w:rPr>
              <w:t>4</w:t>
            </w:r>
            <w:r w:rsidRPr="00242652">
              <w:rPr>
                <w:rFonts w:hint="eastAsia"/>
                <w:sz w:val="18"/>
              </w:rPr>
              <w:t>、</w:t>
            </w:r>
            <w:r w:rsidR="00997197" w:rsidRPr="003A24F7">
              <w:rPr>
                <w:rFonts w:hint="eastAsia"/>
                <w:sz w:val="18"/>
              </w:rPr>
              <w:t>指出是否发现有知识产权的问题</w:t>
            </w:r>
            <w:r w:rsidR="000A69C9">
              <w:rPr>
                <w:rFonts w:hint="eastAsia"/>
                <w:sz w:val="18"/>
              </w:rPr>
              <w:t>：</w:t>
            </w:r>
          </w:p>
          <w:p w:rsidR="00A21C54" w:rsidRDefault="00C12491" w:rsidP="00242652">
            <w:pPr>
              <w:ind w:firstLineChars="200" w:firstLine="360"/>
              <w:rPr>
                <w:rFonts w:ascii="宋体" w:hAnsi="宋体" w:cs="宋体"/>
                <w:sz w:val="18"/>
                <w:szCs w:val="21"/>
              </w:rPr>
            </w:pPr>
            <w:r>
              <w:rPr>
                <w:rFonts w:ascii="宋体" w:hAnsi="宋体" w:cs="宋体" w:hint="eastAsia"/>
                <w:sz w:val="18"/>
                <w:szCs w:val="21"/>
              </w:rPr>
              <w:t>本标准所述技术蚌埠中光电科技有限公司已申请专利，已受理公开，申请公布号：</w:t>
            </w:r>
            <w:r>
              <w:rPr>
                <w:rFonts w:ascii="宋体" w:hAnsi="宋体" w:cs="宋体"/>
                <w:sz w:val="18"/>
                <w:szCs w:val="21"/>
              </w:rPr>
              <w:t>CN110553592A</w:t>
            </w:r>
            <w:r>
              <w:rPr>
                <w:rFonts w:ascii="宋体" w:hAnsi="宋体" w:cs="宋体" w:hint="eastAsia"/>
                <w:sz w:val="18"/>
                <w:szCs w:val="21"/>
              </w:rPr>
              <w:t>，授权使用本标准的单位无偿使用。</w:t>
            </w:r>
          </w:p>
        </w:tc>
      </w:tr>
      <w:tr w:rsidR="00A21C54">
        <w:trPr>
          <w:trHeight w:val="1245"/>
          <w:jc w:val="center"/>
        </w:trPr>
        <w:tc>
          <w:tcPr>
            <w:tcW w:w="1476" w:type="dxa"/>
            <w:tcBorders>
              <w:top w:val="single" w:sz="4" w:space="0" w:color="auto"/>
              <w:left w:val="single" w:sz="4" w:space="0" w:color="auto"/>
              <w:bottom w:val="single" w:sz="4" w:space="0" w:color="auto"/>
              <w:right w:val="single" w:sz="4" w:space="0" w:color="auto"/>
            </w:tcBorders>
            <w:vAlign w:val="center"/>
          </w:tcPr>
          <w:p w:rsidR="00A21C54" w:rsidRDefault="00C12491">
            <w:pPr>
              <w:jc w:val="center"/>
              <w:rPr>
                <w:sz w:val="18"/>
              </w:rPr>
            </w:pPr>
            <w:r>
              <w:rPr>
                <w:rFonts w:hint="eastAsia"/>
                <w:sz w:val="18"/>
              </w:rPr>
              <w:t>起草单位</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A21C54" w:rsidRDefault="00C12491">
            <w:pPr>
              <w:pStyle w:val="a6"/>
              <w:pBdr>
                <w:bottom w:val="none" w:sz="0" w:space="0" w:color="auto"/>
              </w:pBdr>
              <w:tabs>
                <w:tab w:val="left" w:pos="420"/>
              </w:tabs>
              <w:snapToGrid/>
              <w:jc w:val="both"/>
            </w:pPr>
            <w:r>
              <w:rPr>
                <w:rFonts w:hint="eastAsia"/>
              </w:rPr>
              <w:t>（签字、盖公章）</w:t>
            </w:r>
          </w:p>
          <w:p w:rsidR="00A21C54" w:rsidRDefault="00A21C54">
            <w:pPr>
              <w:pStyle w:val="a6"/>
              <w:pBdr>
                <w:bottom w:val="none" w:sz="0" w:space="0" w:color="auto"/>
              </w:pBdr>
              <w:tabs>
                <w:tab w:val="left" w:pos="420"/>
              </w:tabs>
              <w:snapToGrid/>
              <w:jc w:val="both"/>
            </w:pPr>
          </w:p>
          <w:p w:rsidR="00A21C54" w:rsidRDefault="00C12491">
            <w:pPr>
              <w:pStyle w:val="a6"/>
              <w:pBdr>
                <w:bottom w:val="none" w:sz="0" w:space="0" w:color="auto"/>
              </w:pBdr>
              <w:tabs>
                <w:tab w:val="left" w:pos="420"/>
              </w:tabs>
              <w:snapToGrid/>
              <w:ind w:firstLineChars="250" w:firstLine="450"/>
              <w:jc w:val="both"/>
            </w:pPr>
            <w:r>
              <w:rPr>
                <w:rFonts w:hint="eastAsia"/>
              </w:rPr>
              <w:t>月</w:t>
            </w:r>
            <w:r>
              <w:t xml:space="preserve">    </w:t>
            </w:r>
            <w:r>
              <w:rPr>
                <w:rFonts w:hint="eastAsia"/>
              </w:rPr>
              <w:t>日</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jc w:val="center"/>
              <w:rPr>
                <w:sz w:val="18"/>
              </w:rPr>
            </w:pPr>
            <w:r>
              <w:rPr>
                <w:rFonts w:hint="eastAsia"/>
                <w:sz w:val="18"/>
              </w:rPr>
              <w:t>标准化技术组织</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21C54" w:rsidRDefault="00C12491">
            <w:pPr>
              <w:pStyle w:val="a6"/>
              <w:pBdr>
                <w:bottom w:val="none" w:sz="0" w:space="0" w:color="auto"/>
              </w:pBdr>
              <w:tabs>
                <w:tab w:val="left" w:pos="420"/>
              </w:tabs>
              <w:snapToGrid/>
              <w:jc w:val="both"/>
            </w:pPr>
            <w:r>
              <w:rPr>
                <w:rFonts w:hint="eastAsia"/>
              </w:rPr>
              <w:t>（签字、盖公章）</w:t>
            </w:r>
          </w:p>
          <w:p w:rsidR="00A21C54" w:rsidRDefault="00A21C54">
            <w:pPr>
              <w:pStyle w:val="a6"/>
              <w:pBdr>
                <w:bottom w:val="none" w:sz="0" w:space="0" w:color="auto"/>
              </w:pBdr>
              <w:tabs>
                <w:tab w:val="left" w:pos="420"/>
              </w:tabs>
              <w:snapToGrid/>
              <w:jc w:val="both"/>
            </w:pPr>
          </w:p>
          <w:p w:rsidR="00A21C54" w:rsidRDefault="00C12491">
            <w:pPr>
              <w:pStyle w:val="a6"/>
              <w:pBdr>
                <w:bottom w:val="none" w:sz="0" w:space="0" w:color="auto"/>
              </w:pBdr>
              <w:tabs>
                <w:tab w:val="left" w:pos="420"/>
              </w:tabs>
              <w:snapToGrid/>
              <w:ind w:firstLineChars="300" w:firstLine="540"/>
              <w:jc w:val="both"/>
            </w:pPr>
            <w:r>
              <w:rPr>
                <w:rFonts w:hint="eastAsia"/>
              </w:rPr>
              <w:t>月</w:t>
            </w:r>
            <w:r>
              <w:t xml:space="preserve">   </w:t>
            </w:r>
            <w:r>
              <w:rPr>
                <w:rFonts w:hint="eastAsia"/>
              </w:rPr>
              <w:t>日</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A21C54" w:rsidRDefault="00C12491">
            <w:pPr>
              <w:jc w:val="center"/>
              <w:rPr>
                <w:sz w:val="18"/>
              </w:rPr>
            </w:pPr>
            <w:r>
              <w:rPr>
                <w:rFonts w:hint="eastAsia"/>
                <w:sz w:val="18"/>
              </w:rPr>
              <w:t>部委托机构</w:t>
            </w:r>
          </w:p>
        </w:tc>
        <w:tc>
          <w:tcPr>
            <w:tcW w:w="1517" w:type="dxa"/>
            <w:tcBorders>
              <w:top w:val="single" w:sz="4" w:space="0" w:color="auto"/>
              <w:left w:val="single" w:sz="4" w:space="0" w:color="auto"/>
              <w:bottom w:val="single" w:sz="4" w:space="0" w:color="auto"/>
              <w:right w:val="single" w:sz="4" w:space="0" w:color="auto"/>
            </w:tcBorders>
            <w:vAlign w:val="center"/>
          </w:tcPr>
          <w:p w:rsidR="00A21C54" w:rsidRDefault="00C12491">
            <w:pPr>
              <w:pStyle w:val="a6"/>
              <w:pBdr>
                <w:bottom w:val="none" w:sz="0" w:space="0" w:color="auto"/>
              </w:pBdr>
              <w:tabs>
                <w:tab w:val="left" w:pos="420"/>
              </w:tabs>
              <w:snapToGrid/>
              <w:jc w:val="both"/>
            </w:pPr>
            <w:r>
              <w:rPr>
                <w:rFonts w:hint="eastAsia"/>
              </w:rPr>
              <w:t>（签字、盖公章）</w:t>
            </w:r>
          </w:p>
          <w:p w:rsidR="00A21C54" w:rsidRDefault="00A21C54">
            <w:pPr>
              <w:pStyle w:val="a6"/>
              <w:pBdr>
                <w:bottom w:val="none" w:sz="0" w:space="0" w:color="auto"/>
              </w:pBdr>
              <w:tabs>
                <w:tab w:val="left" w:pos="420"/>
              </w:tabs>
              <w:snapToGrid/>
              <w:jc w:val="both"/>
            </w:pPr>
          </w:p>
          <w:p w:rsidR="00A21C54" w:rsidRDefault="00C12491">
            <w:pPr>
              <w:pStyle w:val="a6"/>
              <w:pBdr>
                <w:bottom w:val="none" w:sz="0" w:space="0" w:color="auto"/>
              </w:pBdr>
              <w:tabs>
                <w:tab w:val="left" w:pos="420"/>
              </w:tabs>
              <w:snapToGrid/>
              <w:ind w:firstLineChars="250" w:firstLine="450"/>
              <w:jc w:val="both"/>
            </w:pPr>
            <w:r>
              <w:rPr>
                <w:rFonts w:hint="eastAsia"/>
              </w:rPr>
              <w:t>月</w:t>
            </w:r>
            <w:r>
              <w:t xml:space="preserve">    </w:t>
            </w:r>
            <w:r>
              <w:rPr>
                <w:rFonts w:hint="eastAsia"/>
              </w:rPr>
              <w:t>日</w:t>
            </w:r>
          </w:p>
        </w:tc>
      </w:tr>
    </w:tbl>
    <w:p w:rsidR="00A21C54" w:rsidRDefault="00C12491">
      <w:pPr>
        <w:ind w:firstLineChars="200" w:firstLine="360"/>
        <w:rPr>
          <w:sz w:val="18"/>
          <w:szCs w:val="18"/>
        </w:rPr>
      </w:pPr>
      <w:r>
        <w:rPr>
          <w:rFonts w:hint="eastAsia"/>
          <w:sz w:val="18"/>
          <w:szCs w:val="18"/>
        </w:rPr>
        <w:t>注：</w:t>
      </w:r>
      <w:r>
        <w:rPr>
          <w:rFonts w:hint="eastAsia"/>
          <w:sz w:val="18"/>
          <w:szCs w:val="18"/>
        </w:rPr>
        <w:t>1.</w:t>
      </w:r>
      <w:r>
        <w:rPr>
          <w:rFonts w:hint="eastAsia"/>
          <w:sz w:val="18"/>
          <w:szCs w:val="18"/>
        </w:rPr>
        <w:t>填写制定或修订项目中，若选择修订必须填写被修订标准号；</w:t>
      </w:r>
    </w:p>
    <w:p w:rsidR="00A21C54" w:rsidRDefault="00C12491">
      <w:pPr>
        <w:ind w:firstLineChars="400" w:firstLine="720"/>
        <w:rPr>
          <w:sz w:val="18"/>
          <w:szCs w:val="18"/>
        </w:rPr>
      </w:pPr>
      <w:r>
        <w:rPr>
          <w:rFonts w:hint="eastAsia"/>
          <w:sz w:val="18"/>
          <w:szCs w:val="18"/>
        </w:rPr>
        <w:t>2.</w:t>
      </w:r>
      <w:r>
        <w:rPr>
          <w:rFonts w:hint="eastAsia"/>
          <w:sz w:val="18"/>
          <w:szCs w:val="18"/>
        </w:rPr>
        <w:t>选择采用国际标准，必须填写采标号及采用程度；</w:t>
      </w:r>
    </w:p>
    <w:p w:rsidR="00A21C54" w:rsidRDefault="00C12491">
      <w:pPr>
        <w:ind w:firstLineChars="400" w:firstLine="720"/>
      </w:pPr>
      <w:r>
        <w:rPr>
          <w:rFonts w:hint="eastAsia"/>
          <w:sz w:val="18"/>
          <w:szCs w:val="18"/>
        </w:rPr>
        <w:t>3.</w:t>
      </w:r>
      <w:r>
        <w:rPr>
          <w:rFonts w:hint="eastAsia"/>
          <w:sz w:val="18"/>
          <w:szCs w:val="18"/>
        </w:rPr>
        <w:t>选择采用快速程序，必须填写快速程序代码。</w:t>
      </w:r>
    </w:p>
    <w:sectPr w:rsidR="00A21C54" w:rsidSect="00A21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24" w:rsidRDefault="00454324" w:rsidP="000427FA">
      <w:r>
        <w:separator/>
      </w:r>
    </w:p>
  </w:endnote>
  <w:endnote w:type="continuationSeparator" w:id="1">
    <w:p w:rsidR="00454324" w:rsidRDefault="00454324" w:rsidP="0004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24" w:rsidRDefault="00454324" w:rsidP="000427FA">
      <w:r>
        <w:separator/>
      </w:r>
    </w:p>
  </w:footnote>
  <w:footnote w:type="continuationSeparator" w:id="1">
    <w:p w:rsidR="00454324" w:rsidRDefault="00454324" w:rsidP="00042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48A"/>
    <w:multiLevelType w:val="hybridMultilevel"/>
    <w:tmpl w:val="BAD86040"/>
    <w:lvl w:ilvl="0" w:tplc="CFB61A1A">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w15:presenceInfo w15:providerId="None" w15:userI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DE0"/>
    <w:rsid w:val="00023708"/>
    <w:rsid w:val="000427FA"/>
    <w:rsid w:val="00047C26"/>
    <w:rsid w:val="00073B48"/>
    <w:rsid w:val="0007763C"/>
    <w:rsid w:val="00096D0D"/>
    <w:rsid w:val="000A69C9"/>
    <w:rsid w:val="000C0308"/>
    <w:rsid w:val="000C0843"/>
    <w:rsid w:val="000E440F"/>
    <w:rsid w:val="000E5C50"/>
    <w:rsid w:val="001177B0"/>
    <w:rsid w:val="00126298"/>
    <w:rsid w:val="00154D3E"/>
    <w:rsid w:val="001703AC"/>
    <w:rsid w:val="00193A4A"/>
    <w:rsid w:val="001A271B"/>
    <w:rsid w:val="001A5CB2"/>
    <w:rsid w:val="001D5555"/>
    <w:rsid w:val="001E7994"/>
    <w:rsid w:val="001F2AE1"/>
    <w:rsid w:val="00242652"/>
    <w:rsid w:val="00273392"/>
    <w:rsid w:val="002761B7"/>
    <w:rsid w:val="0028073C"/>
    <w:rsid w:val="00286F9C"/>
    <w:rsid w:val="0029699E"/>
    <w:rsid w:val="002B2DAA"/>
    <w:rsid w:val="002B4773"/>
    <w:rsid w:val="002D3726"/>
    <w:rsid w:val="002F71CF"/>
    <w:rsid w:val="0031195C"/>
    <w:rsid w:val="00323DAC"/>
    <w:rsid w:val="00353482"/>
    <w:rsid w:val="00380E4D"/>
    <w:rsid w:val="00394715"/>
    <w:rsid w:val="003A0F80"/>
    <w:rsid w:val="003A24F7"/>
    <w:rsid w:val="003B12A6"/>
    <w:rsid w:val="003B2BEF"/>
    <w:rsid w:val="003D376E"/>
    <w:rsid w:val="003D6479"/>
    <w:rsid w:val="003E2906"/>
    <w:rsid w:val="004079BB"/>
    <w:rsid w:val="0042417B"/>
    <w:rsid w:val="00425C9A"/>
    <w:rsid w:val="00431B12"/>
    <w:rsid w:val="00435135"/>
    <w:rsid w:val="00447222"/>
    <w:rsid w:val="00454324"/>
    <w:rsid w:val="00515E4E"/>
    <w:rsid w:val="00526B59"/>
    <w:rsid w:val="005320A6"/>
    <w:rsid w:val="005B1290"/>
    <w:rsid w:val="005B1756"/>
    <w:rsid w:val="005C21EF"/>
    <w:rsid w:val="00633771"/>
    <w:rsid w:val="006519EE"/>
    <w:rsid w:val="00670FAD"/>
    <w:rsid w:val="00696CC1"/>
    <w:rsid w:val="006C7816"/>
    <w:rsid w:val="006D7D89"/>
    <w:rsid w:val="007361FD"/>
    <w:rsid w:val="00754860"/>
    <w:rsid w:val="00755401"/>
    <w:rsid w:val="00762C08"/>
    <w:rsid w:val="00801DF9"/>
    <w:rsid w:val="008029AE"/>
    <w:rsid w:val="00824DE9"/>
    <w:rsid w:val="00831751"/>
    <w:rsid w:val="0084528B"/>
    <w:rsid w:val="008925FE"/>
    <w:rsid w:val="008977E3"/>
    <w:rsid w:val="008A0D21"/>
    <w:rsid w:val="008B4E62"/>
    <w:rsid w:val="008C2152"/>
    <w:rsid w:val="00923896"/>
    <w:rsid w:val="00955EDA"/>
    <w:rsid w:val="00997197"/>
    <w:rsid w:val="009D074B"/>
    <w:rsid w:val="009E6529"/>
    <w:rsid w:val="00A21C54"/>
    <w:rsid w:val="00A845BC"/>
    <w:rsid w:val="00AE6150"/>
    <w:rsid w:val="00AF0166"/>
    <w:rsid w:val="00B1125F"/>
    <w:rsid w:val="00B16D2D"/>
    <w:rsid w:val="00B270CB"/>
    <w:rsid w:val="00B859DE"/>
    <w:rsid w:val="00B94BD6"/>
    <w:rsid w:val="00BA3086"/>
    <w:rsid w:val="00BE6661"/>
    <w:rsid w:val="00BE7FE1"/>
    <w:rsid w:val="00C12491"/>
    <w:rsid w:val="00C134E3"/>
    <w:rsid w:val="00C210B0"/>
    <w:rsid w:val="00C5127E"/>
    <w:rsid w:val="00C6585B"/>
    <w:rsid w:val="00C67C8C"/>
    <w:rsid w:val="00C73B29"/>
    <w:rsid w:val="00CA19B4"/>
    <w:rsid w:val="00CD3DB6"/>
    <w:rsid w:val="00CD5A87"/>
    <w:rsid w:val="00CE66CA"/>
    <w:rsid w:val="00CF0379"/>
    <w:rsid w:val="00D16ADE"/>
    <w:rsid w:val="00D55417"/>
    <w:rsid w:val="00D649DE"/>
    <w:rsid w:val="00D8148B"/>
    <w:rsid w:val="00D83D08"/>
    <w:rsid w:val="00D86E56"/>
    <w:rsid w:val="00D94DE0"/>
    <w:rsid w:val="00DB5C9D"/>
    <w:rsid w:val="00DF588D"/>
    <w:rsid w:val="00E560B4"/>
    <w:rsid w:val="00E73788"/>
    <w:rsid w:val="00E7693B"/>
    <w:rsid w:val="00E90986"/>
    <w:rsid w:val="00EE66C4"/>
    <w:rsid w:val="00F20F26"/>
    <w:rsid w:val="00F34637"/>
    <w:rsid w:val="00F56FF1"/>
    <w:rsid w:val="00F90CA2"/>
    <w:rsid w:val="00FA67EE"/>
    <w:rsid w:val="00FB2B52"/>
    <w:rsid w:val="00FB592E"/>
    <w:rsid w:val="0D8F4818"/>
    <w:rsid w:val="12906EF3"/>
    <w:rsid w:val="1FA16D65"/>
    <w:rsid w:val="203A6FE5"/>
    <w:rsid w:val="37543CE0"/>
    <w:rsid w:val="381F3C89"/>
    <w:rsid w:val="3A1325A9"/>
    <w:rsid w:val="3E263932"/>
    <w:rsid w:val="42F217B9"/>
    <w:rsid w:val="52226851"/>
    <w:rsid w:val="5300639D"/>
    <w:rsid w:val="5A3079ED"/>
    <w:rsid w:val="5E465D67"/>
    <w:rsid w:val="61390B2B"/>
    <w:rsid w:val="6275434F"/>
    <w:rsid w:val="7B4A6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5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21C54"/>
    <w:pPr>
      <w:jc w:val="left"/>
    </w:pPr>
  </w:style>
  <w:style w:type="paragraph" w:styleId="a4">
    <w:name w:val="Balloon Text"/>
    <w:basedOn w:val="a"/>
    <w:link w:val="Char0"/>
    <w:uiPriority w:val="99"/>
    <w:semiHidden/>
    <w:unhideWhenUsed/>
    <w:rsid w:val="00A21C54"/>
    <w:rPr>
      <w:sz w:val="18"/>
      <w:szCs w:val="18"/>
    </w:rPr>
  </w:style>
  <w:style w:type="paragraph" w:styleId="a5">
    <w:name w:val="footer"/>
    <w:basedOn w:val="a"/>
    <w:link w:val="Char1"/>
    <w:uiPriority w:val="99"/>
    <w:unhideWhenUsed/>
    <w:rsid w:val="00A21C54"/>
    <w:pPr>
      <w:tabs>
        <w:tab w:val="center" w:pos="4153"/>
        <w:tab w:val="right" w:pos="8306"/>
      </w:tabs>
      <w:snapToGrid w:val="0"/>
      <w:jc w:val="left"/>
    </w:pPr>
    <w:rPr>
      <w:sz w:val="18"/>
      <w:szCs w:val="18"/>
    </w:rPr>
  </w:style>
  <w:style w:type="paragraph" w:styleId="a6">
    <w:name w:val="header"/>
    <w:basedOn w:val="a"/>
    <w:link w:val="Char2"/>
    <w:qFormat/>
    <w:rsid w:val="00A21C5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A21C54"/>
    <w:rPr>
      <w:b/>
      <w:bCs/>
    </w:rPr>
  </w:style>
  <w:style w:type="character" w:styleId="a8">
    <w:name w:val="annotation reference"/>
    <w:basedOn w:val="a0"/>
    <w:uiPriority w:val="99"/>
    <w:semiHidden/>
    <w:unhideWhenUsed/>
    <w:rsid w:val="00A21C54"/>
    <w:rPr>
      <w:sz w:val="21"/>
      <w:szCs w:val="21"/>
    </w:rPr>
  </w:style>
  <w:style w:type="character" w:customStyle="1" w:styleId="Char2">
    <w:name w:val="页眉 Char"/>
    <w:basedOn w:val="a0"/>
    <w:link w:val="a6"/>
    <w:qFormat/>
    <w:rsid w:val="00A21C54"/>
    <w:rPr>
      <w:rFonts w:ascii="Times New Roman" w:eastAsia="宋体" w:hAnsi="Times New Roman" w:cs="Times New Roman"/>
      <w:sz w:val="18"/>
      <w:szCs w:val="18"/>
    </w:rPr>
  </w:style>
  <w:style w:type="paragraph" w:customStyle="1" w:styleId="a9">
    <w:name w:val="段"/>
    <w:link w:val="Char4"/>
    <w:qFormat/>
    <w:rsid w:val="00A21C54"/>
    <w:pPr>
      <w:tabs>
        <w:tab w:val="center" w:pos="4201"/>
        <w:tab w:val="right" w:leader="dot" w:pos="9298"/>
      </w:tabs>
      <w:autoSpaceDE w:val="0"/>
      <w:autoSpaceDN w:val="0"/>
      <w:ind w:firstLineChars="200" w:firstLine="420"/>
      <w:jc w:val="both"/>
    </w:pPr>
    <w:rPr>
      <w:rFonts w:ascii="宋体"/>
      <w:sz w:val="21"/>
    </w:rPr>
  </w:style>
  <w:style w:type="paragraph" w:customStyle="1" w:styleId="aa">
    <w:name w:val="封面标准名称"/>
    <w:rsid w:val="00A21C54"/>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b">
    <w:name w:val="封面一致性程度标识"/>
    <w:basedOn w:val="ac"/>
    <w:rsid w:val="00A21C54"/>
    <w:pPr>
      <w:framePr w:wrap="around"/>
      <w:spacing w:before="440"/>
    </w:pPr>
    <w:rPr>
      <w:rFonts w:ascii="宋体" w:eastAsia="宋体"/>
    </w:rPr>
  </w:style>
  <w:style w:type="paragraph" w:customStyle="1" w:styleId="ac">
    <w:name w:val="封面标准英文名称"/>
    <w:basedOn w:val="aa"/>
    <w:rsid w:val="00A21C54"/>
    <w:pPr>
      <w:framePr w:wrap="around"/>
      <w:spacing w:before="370" w:line="400" w:lineRule="exact"/>
    </w:pPr>
    <w:rPr>
      <w:rFonts w:ascii="Times New Roman"/>
      <w:sz w:val="28"/>
      <w:szCs w:val="28"/>
    </w:rPr>
  </w:style>
  <w:style w:type="character" w:customStyle="1" w:styleId="Char1">
    <w:name w:val="页脚 Char"/>
    <w:basedOn w:val="a0"/>
    <w:link w:val="a5"/>
    <w:uiPriority w:val="99"/>
    <w:rsid w:val="00A21C54"/>
    <w:rPr>
      <w:rFonts w:ascii="Times New Roman" w:hAnsi="Times New Roman"/>
      <w:kern w:val="2"/>
      <w:sz w:val="18"/>
      <w:szCs w:val="18"/>
    </w:rPr>
  </w:style>
  <w:style w:type="character" w:customStyle="1" w:styleId="Char">
    <w:name w:val="批注文字 Char"/>
    <w:basedOn w:val="a0"/>
    <w:link w:val="a3"/>
    <w:uiPriority w:val="99"/>
    <w:semiHidden/>
    <w:rsid w:val="00A21C54"/>
    <w:rPr>
      <w:rFonts w:ascii="Times New Roman" w:hAnsi="Times New Roman"/>
      <w:kern w:val="2"/>
      <w:sz w:val="21"/>
      <w:szCs w:val="24"/>
    </w:rPr>
  </w:style>
  <w:style w:type="character" w:customStyle="1" w:styleId="Char3">
    <w:name w:val="批注主题 Char"/>
    <w:basedOn w:val="Char"/>
    <w:link w:val="a7"/>
    <w:uiPriority w:val="99"/>
    <w:semiHidden/>
    <w:rsid w:val="00A21C54"/>
    <w:rPr>
      <w:rFonts w:ascii="Times New Roman" w:hAnsi="Times New Roman"/>
      <w:b/>
      <w:bCs/>
      <w:kern w:val="2"/>
      <w:sz w:val="21"/>
      <w:szCs w:val="24"/>
    </w:rPr>
  </w:style>
  <w:style w:type="character" w:customStyle="1" w:styleId="Char0">
    <w:name w:val="批注框文本 Char"/>
    <w:basedOn w:val="a0"/>
    <w:link w:val="a4"/>
    <w:uiPriority w:val="99"/>
    <w:semiHidden/>
    <w:rsid w:val="00A21C54"/>
    <w:rPr>
      <w:rFonts w:ascii="Times New Roman" w:hAnsi="Times New Roman"/>
      <w:kern w:val="2"/>
      <w:sz w:val="18"/>
      <w:szCs w:val="18"/>
    </w:rPr>
  </w:style>
  <w:style w:type="paragraph" w:styleId="ad">
    <w:name w:val="List Paragraph"/>
    <w:basedOn w:val="a"/>
    <w:uiPriority w:val="99"/>
    <w:rsid w:val="00A21C54"/>
    <w:pPr>
      <w:ind w:firstLineChars="200" w:firstLine="420"/>
    </w:pPr>
  </w:style>
  <w:style w:type="character" w:customStyle="1" w:styleId="Char4">
    <w:name w:val="段 Char"/>
    <w:link w:val="a9"/>
    <w:rsid w:val="001F2AE1"/>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EBE672-3B04-4D8D-B8D8-7E6A6B6AFD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lenovo</cp:lastModifiedBy>
  <cp:revision>38</cp:revision>
  <dcterms:created xsi:type="dcterms:W3CDTF">2020-12-10T04:39:00Z</dcterms:created>
  <dcterms:modified xsi:type="dcterms:W3CDTF">2020-12-14T03:58:00Z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