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bCs/>
          <w:color w:val="000000"/>
          <w:kern w:val="0"/>
          <w:sz w:val="32"/>
          <w:szCs w:val="32"/>
        </w:rPr>
      </w:pPr>
      <w:bookmarkStart w:id="0" w:name="_GoBack"/>
      <w:bookmarkEnd w:id="0"/>
      <w:r>
        <w:rPr>
          <w:rFonts w:eastAsia="黑体"/>
          <w:bCs/>
          <w:color w:val="000000"/>
          <w:kern w:val="0"/>
          <w:sz w:val="32"/>
          <w:szCs w:val="32"/>
        </w:rPr>
        <w:t>附表2</w:t>
      </w:r>
    </w:p>
    <w:p>
      <w:pPr>
        <w:spacing w:before="156" w:beforeLines="50" w:after="156" w:afterLines="50"/>
        <w:jc w:val="center"/>
        <w:rPr>
          <w:rFonts w:eastAsia="黑体"/>
          <w:sz w:val="36"/>
          <w:szCs w:val="36"/>
        </w:rPr>
      </w:pPr>
      <w:r>
        <w:rPr>
          <w:rFonts w:eastAsia="黑体"/>
          <w:sz w:val="36"/>
          <w:szCs w:val="36"/>
        </w:rPr>
        <w:t>行业标准项目建议书</w:t>
      </w:r>
    </w:p>
    <w:tbl>
      <w:tblPr>
        <w:tblStyle w:val="8"/>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6"/>
        <w:gridCol w:w="1080"/>
        <w:gridCol w:w="450"/>
        <w:gridCol w:w="26"/>
        <w:gridCol w:w="424"/>
        <w:gridCol w:w="1084"/>
        <w:gridCol w:w="1525"/>
        <w:gridCol w:w="143"/>
        <w:gridCol w:w="1329"/>
        <w:gridCol w:w="44"/>
        <w:gridCol w:w="15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left" w:pos="420"/>
              </w:tabs>
              <w:snapToGrid/>
              <w:jc w:val="both"/>
              <w:rPr>
                <w:szCs w:val="24"/>
              </w:rPr>
            </w:pPr>
            <w:r>
              <w:rPr>
                <w:szCs w:val="24"/>
              </w:rPr>
              <w:t>建议项目名称</w:t>
            </w:r>
          </w:p>
          <w:p>
            <w:pPr>
              <w:ind w:hanging="13"/>
              <w:rPr>
                <w:sz w:val="18"/>
              </w:rPr>
            </w:pPr>
            <w:r>
              <w:rPr>
                <w:sz w:val="18"/>
              </w:rPr>
              <w:t>(中文)</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left" w:pos="420"/>
              </w:tabs>
              <w:snapToGrid/>
              <w:jc w:val="both"/>
              <w:rPr>
                <w:rFonts w:eastAsia="瀹嬩綋"/>
                <w:color w:val="000000"/>
              </w:rPr>
            </w:pPr>
            <w:r>
              <w:rPr>
                <w:rFonts w:eastAsia="瀹嬩綋"/>
                <w:color w:val="000000"/>
              </w:rPr>
              <w:t>建材产品水足迹评价</w:t>
            </w:r>
            <w:r>
              <w:rPr>
                <w:rFonts w:hint="eastAsia" w:eastAsia="瀹嬩綋"/>
                <w:color w:val="000000"/>
              </w:rPr>
              <w:t>导则</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建议项目名称</w:t>
            </w:r>
          </w:p>
          <w:p>
            <w:pPr>
              <w:rPr>
                <w:sz w:val="15"/>
              </w:rPr>
            </w:pPr>
            <w:r>
              <w:rPr>
                <w:sz w:val="18"/>
                <w:szCs w:val="18"/>
              </w:rPr>
              <w:t>(英文)</w:t>
            </w:r>
          </w:p>
        </w:tc>
        <w:tc>
          <w:tcPr>
            <w:tcW w:w="2890" w:type="dxa"/>
            <w:gridSpan w:val="3"/>
            <w:tcBorders>
              <w:top w:val="single" w:color="auto" w:sz="4" w:space="0"/>
              <w:left w:val="single" w:color="auto" w:sz="4" w:space="0"/>
              <w:bottom w:val="single" w:color="auto" w:sz="4" w:space="0"/>
              <w:right w:val="single" w:color="auto" w:sz="4" w:space="0"/>
            </w:tcBorders>
            <w:vAlign w:val="center"/>
          </w:tcPr>
          <w:p>
            <w:r>
              <w:rPr>
                <w:sz w:val="18"/>
              </w:rPr>
              <w:t>General principles of water footprint evaluation for building materials production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制定或修订</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sz w:val="18"/>
              </w:rPr>
            </w:pPr>
            <w:r>
              <w:rPr>
                <w:sz w:val="18"/>
                <w:szCs w:val="18"/>
              </w:rPr>
              <w:t>■</w:t>
            </w:r>
            <w:r>
              <w:rPr>
                <w:sz w:val="18"/>
              </w:rPr>
              <w:t>制定</w:t>
            </w:r>
          </w:p>
        </w:tc>
        <w:tc>
          <w:tcPr>
            <w:tcW w:w="1534"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修订</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sz w:val="18"/>
              </w:rPr>
              <w:t>被修订标准号</w:t>
            </w:r>
          </w:p>
        </w:tc>
        <w:tc>
          <w:tcPr>
            <w:tcW w:w="289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采用程度</w:t>
            </w:r>
          </w:p>
        </w:tc>
        <w:tc>
          <w:tcPr>
            <w:tcW w:w="1080" w:type="dxa"/>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IDT</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MOD</w:t>
            </w:r>
          </w:p>
        </w:tc>
        <w:tc>
          <w:tcPr>
            <w:tcW w:w="1084" w:type="dxa"/>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NEQ</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sz w:val="18"/>
              </w:rPr>
              <w:t>采标号</w:t>
            </w:r>
          </w:p>
        </w:tc>
        <w:tc>
          <w:tcPr>
            <w:tcW w:w="289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left" w:pos="420"/>
              </w:tabs>
              <w:snapToGrid/>
              <w:jc w:val="both"/>
              <w:rPr>
                <w:szCs w:val="24"/>
              </w:rPr>
            </w:pPr>
            <w:r>
              <w:t>国际标准</w:t>
            </w:r>
            <w:r>
              <w:rPr>
                <w:szCs w:val="24"/>
              </w:rPr>
              <w:t>名称</w:t>
            </w:r>
          </w:p>
          <w:p>
            <w:pPr>
              <w:rPr>
                <w:sz w:val="18"/>
              </w:rPr>
            </w:pPr>
            <w:r>
              <w:rPr>
                <w:sz w:val="18"/>
              </w:rPr>
              <w:t>(中文)</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sz w:val="18"/>
              </w:rPr>
              <w:t>无</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国际标准名称</w:t>
            </w:r>
          </w:p>
          <w:p>
            <w:pPr>
              <w:rPr>
                <w:sz w:val="18"/>
              </w:rPr>
            </w:pPr>
            <w:r>
              <w:rPr>
                <w:sz w:val="18"/>
                <w:szCs w:val="18"/>
              </w:rPr>
              <w:t>(英文)</w:t>
            </w:r>
          </w:p>
        </w:tc>
        <w:tc>
          <w:tcPr>
            <w:tcW w:w="289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采用快速程序</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FTP</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sz w:val="18"/>
              </w:rPr>
              <w:t>快速程序代码</w:t>
            </w:r>
          </w:p>
        </w:tc>
        <w:tc>
          <w:tcPr>
            <w:tcW w:w="1329" w:type="dxa"/>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B</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szCs w:val="21"/>
              </w:rPr>
              <w:t>□</w:t>
            </w:r>
            <w:r>
              <w:rPr>
                <w:sz w:val="18"/>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ICS分类号</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sz w:val="18"/>
              </w:rPr>
              <w:t>13.020.99</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sz w:val="18"/>
              </w:rPr>
              <w:t>中国标准分类号</w:t>
            </w:r>
          </w:p>
        </w:tc>
        <w:tc>
          <w:tcPr>
            <w:tcW w:w="289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 w:val="18"/>
              </w:rPr>
              <w:t>Z04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szCs w:val="18"/>
              </w:rPr>
              <w:t>牵头</w:t>
            </w:r>
            <w:r>
              <w:rPr>
                <w:sz w:val="18"/>
              </w:rPr>
              <w:t>单位</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rPr>
                <w:rFonts w:hint="eastAsia"/>
                <w:sz w:val="18"/>
              </w:rPr>
            </w:pPr>
            <w:r>
              <w:rPr>
                <w:sz w:val="18"/>
              </w:rPr>
              <w:t>北京国建联信认证中心有限公司</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sz w:val="18"/>
              </w:rPr>
            </w:pPr>
            <w:r>
              <w:rPr>
                <w:sz w:val="18"/>
              </w:rPr>
              <w:t>体系编号</w:t>
            </w:r>
          </w:p>
        </w:tc>
        <w:tc>
          <w:tcPr>
            <w:tcW w:w="289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 w:val="18"/>
              </w:rPr>
              <w:t>3-JC-00.1.2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参加单位</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sz w:val="18"/>
              </w:rPr>
              <w:t>北京工业大学</w:t>
            </w:r>
            <w:r>
              <w:rPr>
                <w:rFonts w:hint="eastAsia"/>
                <w:sz w:val="18"/>
              </w:rPr>
              <w:t>、中国标准化研究院</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计划起止时间</w:t>
            </w:r>
          </w:p>
        </w:tc>
        <w:tc>
          <w:tcPr>
            <w:tcW w:w="289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sz w:val="18"/>
              </w:rPr>
              <w:t>2021.1-2022.12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目的、意义或必要性</w:t>
            </w:r>
          </w:p>
        </w:tc>
        <w:tc>
          <w:tcPr>
            <w:tcW w:w="7622" w:type="dxa"/>
            <w:gridSpan w:val="10"/>
            <w:tcBorders>
              <w:top w:val="single" w:color="auto" w:sz="4" w:space="0"/>
              <w:left w:val="single" w:color="auto" w:sz="4" w:space="0"/>
              <w:bottom w:val="single" w:color="auto" w:sz="4" w:space="0"/>
              <w:right w:val="single" w:color="auto" w:sz="4" w:space="0"/>
            </w:tcBorders>
            <w:vAlign w:val="center"/>
          </w:tcPr>
          <w:p>
            <w:pPr>
              <w:ind w:firstLine="360" w:firstLineChars="200"/>
              <w:rPr>
                <w:sz w:val="18"/>
                <w:szCs w:val="18"/>
              </w:rPr>
            </w:pPr>
            <w:r>
              <w:rPr>
                <w:sz w:val="18"/>
                <w:szCs w:val="18"/>
              </w:rPr>
              <w:t>水资源是构成生态环境的基本要素，也是人类生存与发展不可替代的重要资源。当前，我国水资源短缺、水污染严重、水环境恶化现象已经十分严重。2018年，我国人均水资源量为1971</w:t>
            </w:r>
            <w:r>
              <w:rPr>
                <w:rFonts w:hint="eastAsia"/>
                <w:sz w:val="18"/>
                <w:szCs w:val="18"/>
              </w:rPr>
              <w:t>.</w:t>
            </w:r>
            <w:r>
              <w:rPr>
                <w:sz w:val="18"/>
                <w:szCs w:val="18"/>
              </w:rPr>
              <w:t>8m</w:t>
            </w:r>
            <w:r>
              <w:rPr>
                <w:sz w:val="18"/>
                <w:szCs w:val="18"/>
                <w:vertAlign w:val="superscript"/>
              </w:rPr>
              <w:t>3</w:t>
            </w:r>
            <w:r>
              <w:rPr>
                <w:sz w:val="18"/>
                <w:szCs w:val="18"/>
              </w:rPr>
              <w:t>/capita/year，远低于世界平均水平，属于水资源严重匮乏的国家。根据《地表水环境质量标准（GB3838-2002）》，2018年我国流域IV类以上水体仍占25</w:t>
            </w:r>
            <w:r>
              <w:rPr>
                <w:rFonts w:hint="eastAsia"/>
                <w:sz w:val="18"/>
                <w:szCs w:val="18"/>
              </w:rPr>
              <w:t>.</w:t>
            </w:r>
            <w:r>
              <w:rPr>
                <w:sz w:val="18"/>
                <w:szCs w:val="18"/>
              </w:rPr>
              <w:t>8%。同时，中国90%的浅层地下水已被污染，37%的地下水污染严重。这导致了我国每年约有三亿人面临饮用水短缺，而水资源的需求几乎涉及到国民经济的方方面面，如工业、农业、居民生活等，严重的缺水问题限制了我国城镇现代化建设进程、经济增长和居民生活水平的提高。同时工业污水和生活废水的大量排放导致了水质恶化，影响了水资源的可持续利用，进而加剧了水资源短缺的现状。水体污染物排放一般伴随着有机物污染、毒性污染以及富营养化等问题，这不仅引发了严重的生态环境退化，还对人体健康和粮食安全造成了严重威胁。我国每年约有1</w:t>
            </w:r>
            <w:r>
              <w:rPr>
                <w:rFonts w:hint="eastAsia"/>
                <w:sz w:val="18"/>
                <w:szCs w:val="18"/>
              </w:rPr>
              <w:t>.</w:t>
            </w:r>
            <w:r>
              <w:rPr>
                <w:sz w:val="18"/>
                <w:szCs w:val="18"/>
              </w:rPr>
              <w:t>9亿人发生相关疾病和约6万人死于水污染引起的胃癌、肝癌等疾病。因此，国家高度重视水资源问题，制定出台了一系列政策文件。</w:t>
            </w:r>
          </w:p>
          <w:p>
            <w:pPr>
              <w:ind w:firstLine="360" w:firstLineChars="200"/>
              <w:rPr>
                <w:sz w:val="18"/>
                <w:szCs w:val="18"/>
              </w:rPr>
            </w:pPr>
            <w:r>
              <w:rPr>
                <w:sz w:val="18"/>
                <w:szCs w:val="18"/>
              </w:rPr>
              <w:t>《国务院关于印发水污染防治行动计划的通知》（国发（2015）17号），提出了水污染防治的总体要求、工作目标、主要指标以及重点工作，明确提出要“推进循环发展，加强工业水循环利用”。国家发展改革委等9部委制定发布了《关于加强资源环境生态红线管控的指导意见》（发改环资（2016）1162号），明确要“对水资源消耗实施管控，确定用水总量控制目标”。2016年，十二届全国人大四次会议通过的《中华人民共和国国民经济和社会发展第十三个五年规划纲要》明确提出“落实最严格的水资源管理制度，建立健全资源高效利用机制，实施水资源消耗总量和强度双控行动。而且要坚持</w:t>
            </w:r>
            <w:r>
              <w:rPr>
                <w:rFonts w:hint="eastAsia"/>
                <w:sz w:val="18"/>
                <w:szCs w:val="18"/>
              </w:rPr>
              <w:t>“</w:t>
            </w:r>
            <w:r>
              <w:rPr>
                <w:sz w:val="18"/>
                <w:szCs w:val="18"/>
              </w:rPr>
              <w:t>预防为主、风险防控</w:t>
            </w:r>
            <w:r>
              <w:rPr>
                <w:rFonts w:hint="eastAsia"/>
                <w:sz w:val="18"/>
                <w:szCs w:val="18"/>
              </w:rPr>
              <w:t>”</w:t>
            </w:r>
            <w:r>
              <w:rPr>
                <w:sz w:val="18"/>
                <w:szCs w:val="18"/>
              </w:rPr>
              <w:t>理念，对具有高健康风险的环境污染因素进行主动管理，从源头预防、消除或减少环境污染，坚持立足风险管理是环境与健康工作的核心任务这</w:t>
            </w:r>
            <w:r>
              <w:rPr>
                <w:rFonts w:hint="eastAsia"/>
                <w:sz w:val="18"/>
                <w:szCs w:val="18"/>
              </w:rPr>
              <w:t>一</w:t>
            </w:r>
            <w:r>
              <w:rPr>
                <w:sz w:val="18"/>
                <w:szCs w:val="18"/>
              </w:rPr>
              <w:t>理念，以推动环境管理向‘污染物总量控制</w:t>
            </w:r>
            <w:r>
              <w:rPr>
                <w:rFonts w:hint="eastAsia"/>
                <w:sz w:val="18"/>
                <w:szCs w:val="18"/>
              </w:rPr>
              <w:t>——</w:t>
            </w:r>
            <w:r>
              <w:rPr>
                <w:sz w:val="18"/>
                <w:szCs w:val="18"/>
              </w:rPr>
              <w:t>环境质量管理</w:t>
            </w:r>
            <w:r>
              <w:rPr>
                <w:rFonts w:hint="eastAsia"/>
                <w:sz w:val="18"/>
                <w:szCs w:val="18"/>
              </w:rPr>
              <w:t>——</w:t>
            </w:r>
            <w:r>
              <w:rPr>
                <w:sz w:val="18"/>
                <w:szCs w:val="18"/>
              </w:rPr>
              <w:t>环境风险管理’三者统筹协调管理转型”。习近平总书记在十九大报告中指出“要着力解决突出环境问题，实行最严格的生态环境保护制度，加快生态文明体制改革，建设美丽中国”，也指出“在生态环境保护上</w:t>
            </w:r>
            <w:r>
              <w:rPr>
                <w:rFonts w:hint="eastAsia"/>
                <w:sz w:val="18"/>
                <w:szCs w:val="18"/>
              </w:rPr>
              <w:t>一</w:t>
            </w:r>
            <w:r>
              <w:rPr>
                <w:sz w:val="18"/>
                <w:szCs w:val="18"/>
              </w:rPr>
              <w:t>定要算大账、算整体账、算综合账”。由此可见，水资源的管理已进入国家战略体系，以环境质量目标为导向的全过程环境风险管控已提升至国家战略高度。</w:t>
            </w:r>
          </w:p>
          <w:p>
            <w:pPr>
              <w:ind w:firstLine="360" w:firstLineChars="200"/>
              <w:rPr>
                <w:sz w:val="18"/>
                <w:szCs w:val="18"/>
              </w:rPr>
            </w:pPr>
            <w:r>
              <w:rPr>
                <w:sz w:val="18"/>
                <w:szCs w:val="18"/>
              </w:rPr>
              <w:t>目前，我国工业用水效率总体水平较低，与世界先进水平相差悬殊，而工业节水潜力巨大。而建材行业作为中国重要的材料工业，其行业耗水量也较为庞大，根据各省地方标准及政府文件数据统计估算，就水泥和预拌混凝土的年取水量分别约达到70000万m</w:t>
            </w:r>
            <w:r>
              <w:rPr>
                <w:sz w:val="18"/>
                <w:szCs w:val="18"/>
                <w:vertAlign w:val="superscript"/>
              </w:rPr>
              <w:t>3</w:t>
            </w:r>
            <w:r>
              <w:rPr>
                <w:sz w:val="18"/>
                <w:szCs w:val="18"/>
              </w:rPr>
              <w:t>和28000万m</w:t>
            </w:r>
            <w:r>
              <w:rPr>
                <w:sz w:val="18"/>
                <w:szCs w:val="18"/>
                <w:vertAlign w:val="superscript"/>
              </w:rPr>
              <w:t>3</w:t>
            </w:r>
            <w:r>
              <w:rPr>
                <w:sz w:val="18"/>
                <w:szCs w:val="18"/>
              </w:rPr>
              <w:t>。建筑陶瓷和卫生陶瓷的年耗水量则约为99000万m</w:t>
            </w:r>
            <w:r>
              <w:rPr>
                <w:sz w:val="18"/>
                <w:szCs w:val="18"/>
                <w:vertAlign w:val="superscript"/>
              </w:rPr>
              <w:t>3</w:t>
            </w:r>
            <w:r>
              <w:rPr>
                <w:sz w:val="18"/>
                <w:szCs w:val="18"/>
              </w:rPr>
              <w:t>和16000万m</w:t>
            </w:r>
            <w:r>
              <w:rPr>
                <w:sz w:val="18"/>
                <w:szCs w:val="18"/>
                <w:vertAlign w:val="superscript"/>
              </w:rPr>
              <w:t>3</w:t>
            </w:r>
            <w:r>
              <w:rPr>
                <w:sz w:val="18"/>
                <w:szCs w:val="18"/>
              </w:rPr>
              <w:t>。平板玻璃的制造年耗水量也接近12000万m</w:t>
            </w:r>
            <w:r>
              <w:rPr>
                <w:sz w:val="18"/>
                <w:szCs w:val="18"/>
                <w:vertAlign w:val="superscript"/>
              </w:rPr>
              <w:t>3</w:t>
            </w:r>
            <w:r>
              <w:rPr>
                <w:sz w:val="18"/>
                <w:szCs w:val="18"/>
              </w:rPr>
              <w:t>。</w:t>
            </w:r>
            <w:r>
              <w:rPr>
                <w:bCs/>
                <w:sz w:val="18"/>
                <w:szCs w:val="18"/>
              </w:rPr>
              <w:t>水十条明确提出，提高用水效率，到2020年全国万元工业增加值用水量比2013年下降30%以上。</w:t>
            </w:r>
          </w:p>
          <w:p>
            <w:pPr>
              <w:ind w:firstLine="360" w:firstLineChars="200"/>
              <w:rPr>
                <w:sz w:val="18"/>
                <w:szCs w:val="18"/>
              </w:rPr>
            </w:pPr>
            <w:r>
              <w:rPr>
                <w:sz w:val="18"/>
                <w:szCs w:val="18"/>
              </w:rPr>
              <w:t>水足迹（Water Footprint）是</w:t>
            </w:r>
            <w:r>
              <w:rPr>
                <w:rFonts w:hint="eastAsia"/>
                <w:sz w:val="18"/>
                <w:szCs w:val="18"/>
              </w:rPr>
              <w:t>一个</w:t>
            </w:r>
            <w:r>
              <w:rPr>
                <w:sz w:val="18"/>
                <w:szCs w:val="18"/>
              </w:rPr>
              <w:t>可以评价水资源消耗和污染状况的一个综合性指标，能够定量反应人类活动对水环境造成的影响，有效指导人类节水行动，但传统的水足迹分析方法并不能实现全过程环境风险的分析。而生命周期评价（Life Cycle Assessment</w:t>
            </w:r>
            <w:r>
              <w:rPr>
                <w:rFonts w:hint="eastAsia"/>
                <w:sz w:val="18"/>
                <w:szCs w:val="18"/>
              </w:rPr>
              <w:t>，</w:t>
            </w:r>
            <w:r>
              <w:rPr>
                <w:sz w:val="18"/>
                <w:szCs w:val="18"/>
              </w:rPr>
              <w:t>LCA）即能够对环境影响进行量化，又能够实现从“摇篮"到“坟墓”的全过程环境风险解析。因此，国际标准化组织（ISO）发布了相关标准</w:t>
            </w:r>
            <w:r>
              <w:rPr>
                <w:rFonts w:hint="eastAsia"/>
                <w:sz w:val="18"/>
                <w:szCs w:val="18"/>
              </w:rPr>
              <w:t>《</w:t>
            </w:r>
            <w:r>
              <w:rPr>
                <w:sz w:val="18"/>
                <w:szCs w:val="18"/>
              </w:rPr>
              <w:t>ISO 14046 Environmental Management-Water Footprint 。Principles，Requirements and Guidelines》，提出采用LCA的方法进行水足迹评价以实现全过程水足迹影响分析。标准同时发布了全过程水足迹影响评价的基本要求和方法框架，但并未提出具体的水足迹评估模型，当前符合该标准的相关方法性研究仍相对较少。欧盟也曾指出LCA是未来评价绿色产品唯一方法。同时，我国颁布了多项政策性文献，鼓励采用生命周期的理念进行全过程环境风险管控。《中国制造2025》实行的五大工程中的“绿色制造工程”要求“强化产品全生命周期绿色管理，努力构建高效、清洁、低碳、循环的绿色制造体系”；《工业绿色发展规划（2016-2020）》要求“开展基于全生命周期的绿色评价技术研究，强化产品全生命周期绿色管理”；《“十三五”国家科技创新规划》提出“构建基于产品全生命周期的绿色制造技术体系”。</w:t>
            </w:r>
          </w:p>
          <w:p>
            <w:pPr>
              <w:ind w:firstLine="360" w:firstLineChars="200"/>
              <w:rPr>
                <w:sz w:val="18"/>
                <w:szCs w:val="18"/>
              </w:rPr>
            </w:pPr>
            <w:r>
              <w:rPr>
                <w:bCs/>
                <w:sz w:val="18"/>
                <w:szCs w:val="18"/>
              </w:rPr>
              <w:t>基于此，</w:t>
            </w:r>
            <w:r>
              <w:rPr>
                <w:sz w:val="18"/>
                <w:szCs w:val="18"/>
              </w:rPr>
              <w:t>水足迹作为一种全球通用的评价技术，为解决水资源问题提供了可行的办法。通过水足迹的量化和评价，既能实现对水资源消耗和水环境污染的总体把握，为水资源的合理利用提供决策依据，又能与同类的企业或产品进行比较分析，从而实现水资源的优化配置、减少不利的环境影响。</w:t>
            </w:r>
          </w:p>
          <w:p>
            <w:pPr>
              <w:ind w:firstLine="360" w:firstLineChars="200"/>
              <w:rPr>
                <w:bCs/>
                <w:sz w:val="18"/>
                <w:szCs w:val="18"/>
              </w:rPr>
            </w:pPr>
            <w:r>
              <w:rPr>
                <w:sz w:val="18"/>
                <w:szCs w:val="18"/>
              </w:rPr>
              <w:t>针对建材行业耗水量大、水效不高、水足迹评价方法不完善、缺失统一有效的标准等问题，开展建材产品水足迹评价通则制订对于促进水泥企业节水技术进步、不断提高工业用水效率、实现水资源可持续利用，支持经济社会的可持续发展，以及建设节水型社会，均具有重要的现实意义和深远的历史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5"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范围和主要</w:t>
            </w:r>
          </w:p>
          <w:p>
            <w:pPr>
              <w:rPr>
                <w:sz w:val="18"/>
              </w:rPr>
            </w:pPr>
            <w:r>
              <w:rPr>
                <w:sz w:val="18"/>
              </w:rPr>
              <w:t>技术内容</w:t>
            </w:r>
          </w:p>
        </w:tc>
        <w:tc>
          <w:tcPr>
            <w:tcW w:w="7622" w:type="dxa"/>
            <w:gridSpan w:val="10"/>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一、范围</w:t>
            </w:r>
          </w:p>
          <w:p>
            <w:pPr>
              <w:ind w:firstLine="360" w:firstLineChars="200"/>
              <w:rPr>
                <w:sz w:val="18"/>
                <w:szCs w:val="18"/>
              </w:rPr>
            </w:pPr>
            <w:r>
              <w:rPr>
                <w:sz w:val="18"/>
                <w:szCs w:val="18"/>
              </w:rPr>
              <w:t>本标准适用于建材产品水足迹技术规范的编制以及建材产品水足迹报告的编制。</w:t>
            </w:r>
          </w:p>
          <w:p>
            <w:pPr>
              <w:rPr>
                <w:sz w:val="18"/>
                <w:szCs w:val="18"/>
              </w:rPr>
            </w:pPr>
            <w:r>
              <w:rPr>
                <w:sz w:val="18"/>
                <w:szCs w:val="18"/>
              </w:rPr>
              <w:t>二、主要技术内容</w:t>
            </w:r>
          </w:p>
          <w:p>
            <w:pPr>
              <w:ind w:firstLine="360" w:firstLineChars="200"/>
              <w:rPr>
                <w:sz w:val="18"/>
                <w:szCs w:val="18"/>
              </w:rPr>
            </w:pPr>
            <w:r>
              <w:rPr>
                <w:sz w:val="18"/>
                <w:szCs w:val="18"/>
              </w:rPr>
              <w:t>主要技术内容包括水足迹评价、清单分析、评价方法和影响类型、结果解释以及水足迹评价报告。</w:t>
            </w:r>
          </w:p>
          <w:p>
            <w:pPr>
              <w:ind w:firstLine="360" w:firstLineChars="200"/>
            </w:pPr>
            <w:r>
              <w:rPr>
                <w:rFonts w:hint="eastAsia"/>
                <w:sz w:val="18"/>
                <w:szCs w:val="18"/>
              </w:rPr>
              <w:t>本标准中</w:t>
            </w:r>
            <w:r>
              <w:rPr>
                <w:sz w:val="18"/>
                <w:szCs w:val="18"/>
              </w:rPr>
              <w:t>包含产品描述、评价范围，其中评价范围中规定功能单位和系统边界的确定，数据的描述、取舍准则以及数据质量等要求。清单分析包括数据收集以及分配。评价方法和影响类型则是根据水足迹清单分析结果，确定水稀缺、水劣化等不同类型影响评价。最终对评价结果进行解释并输出水足迹评价报告。</w:t>
            </w:r>
            <w:r>
              <w:rPr>
                <w:rFonts w:hint="eastAsia"/>
                <w:sz w:val="18"/>
                <w:szCs w:val="18"/>
              </w:rPr>
              <w:t>结合建材行业企业现状，以生命周期评价理论为基础，量化分析某种建材产品从原材料获取、产品生产到产品出厂整个过程对新鲜水消耗、生产废水排放、生活污水排放以及水质的影响，从而造成的与水资源消耗/水体污染相关的潜在环境影响，如水稀缺足迹、水劣化足迹等指标，提供基于预设参数的量化环境数据的环境声明。为理解与管理建材产品与淡水系统之间的关系提供了更加合理和广阔的视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7"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rPr>
                <w:sz w:val="18"/>
              </w:rPr>
            </w:pPr>
            <w:r>
              <w:rPr>
                <w:sz w:val="18"/>
              </w:rPr>
              <w:t>国内外情况</w:t>
            </w:r>
          </w:p>
          <w:p>
            <w:pPr>
              <w:rPr>
                <w:sz w:val="18"/>
              </w:rPr>
            </w:pPr>
            <w:r>
              <w:rPr>
                <w:sz w:val="18"/>
              </w:rPr>
              <w:t>简要说明</w:t>
            </w:r>
          </w:p>
        </w:tc>
        <w:tc>
          <w:tcPr>
            <w:tcW w:w="7622" w:type="dxa"/>
            <w:gridSpan w:val="10"/>
            <w:tcBorders>
              <w:top w:val="single" w:color="auto" w:sz="4" w:space="0"/>
              <w:left w:val="single" w:color="auto" w:sz="4" w:space="0"/>
              <w:bottom w:val="single" w:color="auto" w:sz="4" w:space="0"/>
              <w:right w:val="single" w:color="auto" w:sz="4" w:space="0"/>
            </w:tcBorders>
            <w:vAlign w:val="center"/>
          </w:tcPr>
          <w:p>
            <w:pPr>
              <w:numPr>
                <w:ilvl w:val="0"/>
                <w:numId w:val="1"/>
              </w:numPr>
              <w:rPr>
                <w:sz w:val="18"/>
              </w:rPr>
            </w:pPr>
            <w:r>
              <w:rPr>
                <w:sz w:val="18"/>
              </w:rPr>
              <w:t>国内外对该技术研究情况简要说明：</w:t>
            </w:r>
          </w:p>
          <w:p>
            <w:pPr>
              <w:ind w:left="360"/>
              <w:rPr>
                <w:sz w:val="18"/>
              </w:rPr>
            </w:pPr>
            <w:r>
              <w:rPr>
                <w:sz w:val="18"/>
              </w:rPr>
              <w:t>近年来，水足迹网络（WaterFootprint Network， WFN）在虚拟水的基础上提出了水足迹的核算方法，将水足迹分为绿水足迹、蓝水足迹和灰水足迹。2014年，国际标准化组织提出了基于生命周期理论的水足迹评价通用方法学框架（ISO 14046），为水足迹评价研究提供了原则、要求和指南。由于工业产品种类繁多、工艺复杂，导致工业产品水足迹核算案例较少，目前研究主要涉及化石能源、火力发电、水力发电、生物质发电等能源行业。</w:t>
            </w:r>
          </w:p>
          <w:p>
            <w:pPr>
              <w:ind w:left="360"/>
              <w:rPr>
                <w:sz w:val="18"/>
              </w:rPr>
            </w:pPr>
            <w:r>
              <w:rPr>
                <w:sz w:val="18"/>
              </w:rPr>
              <w:t>在标准化方面，我国最早对ISO14046进行了转化，并先后制定了GB/T 33859-2017《环境管理  水足迹 原则、要求和指南》和《产品水足迹评价和报告指南》两项国家标准，初步构建了我国水足迹评价标准体系框架。</w:t>
            </w:r>
          </w:p>
          <w:p>
            <w:pPr>
              <w:ind w:left="360"/>
              <w:rPr>
                <w:sz w:val="18"/>
              </w:rPr>
            </w:pPr>
            <w:r>
              <w:rPr>
                <w:sz w:val="18"/>
              </w:rPr>
              <w:t>WFN提出的评价方法强调用水量来表征水资源消耗和污染，而对水资源消耗及污染造成的环境影响评价不足；ISO提出的水足迹评价虽然强调了环境影响评价，但也只是提供了方法框架。通用评价方法、模型及基础数据库的缺失，阻碍了工业领域水足迹量化和评价工作的开展。</w:t>
            </w:r>
          </w:p>
          <w:p>
            <w:pPr>
              <w:numPr>
                <w:ilvl w:val="0"/>
                <w:numId w:val="1"/>
              </w:numPr>
              <w:rPr>
                <w:sz w:val="18"/>
              </w:rPr>
            </w:pPr>
            <w:r>
              <w:rPr>
                <w:sz w:val="18"/>
              </w:rPr>
              <w:t>项目与国际标准或国外先进标准采用程度的考虑：</w:t>
            </w:r>
          </w:p>
          <w:p>
            <w:pPr>
              <w:ind w:left="360"/>
              <w:rPr>
                <w:sz w:val="18"/>
              </w:rPr>
            </w:pPr>
            <w:r>
              <w:rPr>
                <w:sz w:val="18"/>
              </w:rPr>
              <w:t>无</w:t>
            </w:r>
          </w:p>
          <w:p>
            <w:pPr>
              <w:numPr>
                <w:ilvl w:val="0"/>
                <w:numId w:val="1"/>
              </w:numPr>
              <w:rPr>
                <w:sz w:val="18"/>
              </w:rPr>
            </w:pPr>
            <w:r>
              <w:rPr>
                <w:sz w:val="18"/>
              </w:rPr>
              <w:t>与国内相关标准间的关系：</w:t>
            </w:r>
          </w:p>
          <w:p>
            <w:pPr>
              <w:ind w:left="360"/>
              <w:rPr>
                <w:sz w:val="18"/>
              </w:rPr>
            </w:pPr>
            <w:r>
              <w:rPr>
                <w:rFonts w:hint="eastAsia"/>
                <w:sz w:val="18"/>
              </w:rPr>
              <w:t>在标准化方面，ISO14046属于ISO14040生命周期评价系列国际标准,于2014年8月正式发布。由全国环境管理标准化技术委员会已牵头对该项国际标准予以等同转化，形成标准GB/T 33859-2017《环境管理  水足迹 原则、要求和指南》，该标准规定了采用生命周期观点的水足迹评价的原则、要求与指南，为本标准的制定提供了技术依据和框架。此外，</w:t>
            </w:r>
          </w:p>
          <w:p>
            <w:pPr>
              <w:ind w:left="360"/>
              <w:rPr>
                <w:sz w:val="18"/>
              </w:rPr>
            </w:pPr>
            <w:r>
              <w:rPr>
                <w:rFonts w:hint="eastAsia"/>
                <w:sz w:val="18"/>
              </w:rPr>
              <w:t>G</w:t>
            </w:r>
            <w:r>
              <w:rPr>
                <w:sz w:val="18"/>
              </w:rPr>
              <w:t xml:space="preserve">B/T </w:t>
            </w:r>
            <w:r>
              <w:rPr>
                <w:rFonts w:hint="eastAsia"/>
                <w:sz w:val="18"/>
              </w:rPr>
              <w:t>37756</w:t>
            </w:r>
            <w:r>
              <w:rPr>
                <w:sz w:val="18"/>
              </w:rPr>
              <w:t xml:space="preserve"> </w:t>
            </w:r>
            <w:r>
              <w:rPr>
                <w:rFonts w:hint="eastAsia"/>
                <w:sz w:val="18"/>
              </w:rPr>
              <w:t>《产品水足迹评价和报告指南》，初步构建了我国产品水足迹评价的术语和定义、目的和范围的确定、清单分析、影响评价、结果解释和报告标准体系框架。本标准的制定参考上述两个标准，并结合建材行业特征，制定了从“摇篮到大门”的建材产品水足迹评价要求。</w:t>
            </w:r>
          </w:p>
          <w:p>
            <w:pPr>
              <w:numPr>
                <w:ilvl w:val="0"/>
                <w:numId w:val="1"/>
              </w:numPr>
              <w:rPr>
                <w:sz w:val="18"/>
              </w:rPr>
            </w:pPr>
            <w:r>
              <w:rPr>
                <w:sz w:val="18"/>
              </w:rPr>
              <w:t>指出是否发现有知识产权的问题：未发现。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5"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szCs w:val="18"/>
              </w:rPr>
              <w:t>牵头</w:t>
            </w:r>
            <w:r>
              <w:rPr>
                <w:sz w:val="18"/>
              </w:rPr>
              <w:t>单位</w:t>
            </w:r>
          </w:p>
        </w:tc>
        <w:tc>
          <w:tcPr>
            <w:tcW w:w="1556" w:type="dxa"/>
            <w:gridSpan w:val="3"/>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left" w:pos="420"/>
              </w:tabs>
              <w:snapToGrid/>
              <w:jc w:val="both"/>
            </w:pPr>
            <w:r>
              <w:t>（签字、盖公章）</w:t>
            </w:r>
          </w:p>
          <w:p>
            <w:pPr>
              <w:pStyle w:val="7"/>
              <w:pBdr>
                <w:bottom w:val="none" w:color="auto" w:sz="0" w:space="0"/>
              </w:pBdr>
              <w:tabs>
                <w:tab w:val="left" w:pos="420"/>
              </w:tabs>
              <w:snapToGrid/>
              <w:jc w:val="both"/>
            </w:pPr>
          </w:p>
          <w:p>
            <w:pPr>
              <w:pStyle w:val="7"/>
              <w:pBdr>
                <w:bottom w:val="none" w:color="auto" w:sz="0" w:space="0"/>
              </w:pBdr>
              <w:tabs>
                <w:tab w:val="left" w:pos="420"/>
              </w:tabs>
              <w:snapToGrid/>
              <w:jc w:val="both"/>
            </w:pPr>
          </w:p>
          <w:p>
            <w:pPr>
              <w:pStyle w:val="7"/>
              <w:pBdr>
                <w:bottom w:val="none" w:color="auto" w:sz="0" w:space="0"/>
              </w:pBdr>
              <w:tabs>
                <w:tab w:val="left" w:pos="420"/>
              </w:tabs>
              <w:snapToGrid/>
              <w:jc w:val="both"/>
            </w:pPr>
            <w:r>
              <w:t>2020年12月</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标准化技术组织</w:t>
            </w:r>
          </w:p>
        </w:tc>
        <w:tc>
          <w:tcPr>
            <w:tcW w:w="1525"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left" w:pos="420"/>
              </w:tabs>
              <w:snapToGrid/>
              <w:jc w:val="both"/>
            </w:pPr>
            <w:r>
              <w:t>（签字、盖公章）</w:t>
            </w:r>
          </w:p>
          <w:p>
            <w:pPr>
              <w:pStyle w:val="7"/>
              <w:pBdr>
                <w:bottom w:val="none" w:color="auto" w:sz="0" w:space="0"/>
              </w:pBdr>
              <w:tabs>
                <w:tab w:val="left" w:pos="420"/>
              </w:tabs>
              <w:snapToGrid/>
              <w:jc w:val="both"/>
            </w:pPr>
          </w:p>
          <w:p>
            <w:pPr>
              <w:pStyle w:val="7"/>
              <w:pBdr>
                <w:bottom w:val="none" w:color="auto" w:sz="0" w:space="0"/>
              </w:pBdr>
              <w:tabs>
                <w:tab w:val="left" w:pos="420"/>
              </w:tabs>
              <w:snapToGrid/>
              <w:jc w:val="both"/>
            </w:pPr>
          </w:p>
          <w:p>
            <w:pPr>
              <w:pStyle w:val="7"/>
              <w:pBdr>
                <w:bottom w:val="none" w:color="auto" w:sz="0" w:space="0"/>
              </w:pBdr>
              <w:tabs>
                <w:tab w:val="left" w:pos="420"/>
              </w:tabs>
              <w:snapToGrid/>
              <w:ind w:firstLine="540" w:firstLineChars="300"/>
              <w:jc w:val="both"/>
            </w:pPr>
            <w:r>
              <w:t>月    日</w:t>
            </w:r>
          </w:p>
        </w:tc>
        <w:tc>
          <w:tcPr>
            <w:tcW w:w="1516" w:type="dxa"/>
            <w:gridSpan w:val="3"/>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部委托机构</w:t>
            </w:r>
          </w:p>
        </w:tc>
        <w:tc>
          <w:tcPr>
            <w:tcW w:w="151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left" w:pos="420"/>
              </w:tabs>
              <w:snapToGrid/>
              <w:jc w:val="both"/>
            </w:pPr>
            <w:r>
              <w:t>（签字、盖公章）</w:t>
            </w:r>
          </w:p>
          <w:p>
            <w:pPr>
              <w:pStyle w:val="7"/>
              <w:pBdr>
                <w:bottom w:val="none" w:color="auto" w:sz="0" w:space="0"/>
              </w:pBdr>
              <w:tabs>
                <w:tab w:val="left" w:pos="420"/>
              </w:tabs>
              <w:snapToGrid/>
              <w:jc w:val="both"/>
            </w:pPr>
          </w:p>
          <w:p>
            <w:pPr>
              <w:pStyle w:val="7"/>
              <w:pBdr>
                <w:bottom w:val="none" w:color="auto" w:sz="0" w:space="0"/>
              </w:pBdr>
              <w:tabs>
                <w:tab w:val="left" w:pos="420"/>
              </w:tabs>
              <w:snapToGrid/>
              <w:jc w:val="both"/>
            </w:pPr>
          </w:p>
          <w:p>
            <w:pPr>
              <w:pStyle w:val="7"/>
              <w:pBdr>
                <w:bottom w:val="none" w:color="auto" w:sz="0" w:space="0"/>
              </w:pBdr>
              <w:tabs>
                <w:tab w:val="left" w:pos="420"/>
              </w:tabs>
              <w:snapToGrid/>
              <w:ind w:firstLine="450" w:firstLineChars="250"/>
              <w:jc w:val="both"/>
            </w:pPr>
            <w:r>
              <w:t>月    日</w:t>
            </w:r>
          </w:p>
        </w:tc>
      </w:tr>
    </w:tbl>
    <w:p>
      <w:pPr>
        <w:ind w:firstLine="360" w:firstLineChars="200"/>
        <w:rPr>
          <w:sz w:val="18"/>
          <w:szCs w:val="18"/>
        </w:rPr>
      </w:pPr>
      <w:r>
        <w:rPr>
          <w:sz w:val="18"/>
          <w:szCs w:val="18"/>
        </w:rPr>
        <w:t>注：1。填写制定或修订项目中，若选择修订必须填写被修订标准号；</w:t>
      </w:r>
    </w:p>
    <w:p>
      <w:pPr>
        <w:ind w:firstLine="720" w:firstLineChars="400"/>
        <w:rPr>
          <w:sz w:val="18"/>
          <w:szCs w:val="18"/>
        </w:rPr>
      </w:pPr>
      <w:r>
        <w:rPr>
          <w:sz w:val="18"/>
          <w:szCs w:val="18"/>
        </w:rPr>
        <w:t>2。选择采用国际标准，必须填写采标号及采用程度；</w:t>
      </w:r>
    </w:p>
    <w:p>
      <w:pPr>
        <w:ind w:firstLine="720" w:firstLineChars="400"/>
      </w:pPr>
      <w:r>
        <w:rPr>
          <w:sz w:val="18"/>
          <w:szCs w:val="18"/>
        </w:rPr>
        <w:t>3。选择采用快速程序，必须填写快速程序代码。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嬩綋">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3FB"/>
    <w:multiLevelType w:val="multilevel"/>
    <w:tmpl w:val="4A3A63FB"/>
    <w:lvl w:ilvl="0" w:tentative="0">
      <w:start w:val="1"/>
      <w:numFmt w:val="decimal"/>
      <w:lvlText w:val="%1."/>
      <w:lvlJc w:val="left"/>
      <w:pPr>
        <w:tabs>
          <w:tab w:val="left" w:pos="360"/>
        </w:tabs>
        <w:ind w:left="360" w:hanging="360"/>
      </w:pPr>
      <w:rPr>
        <w:u w:val="singl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4DE0"/>
    <w:rsid w:val="00011FB0"/>
    <w:rsid w:val="00066B6A"/>
    <w:rsid w:val="000D1DCC"/>
    <w:rsid w:val="000E7708"/>
    <w:rsid w:val="001078D4"/>
    <w:rsid w:val="00126298"/>
    <w:rsid w:val="00151247"/>
    <w:rsid w:val="0015180D"/>
    <w:rsid w:val="0022685C"/>
    <w:rsid w:val="002340AD"/>
    <w:rsid w:val="0027352A"/>
    <w:rsid w:val="002861C6"/>
    <w:rsid w:val="00290A7A"/>
    <w:rsid w:val="002F009B"/>
    <w:rsid w:val="0031195C"/>
    <w:rsid w:val="00361318"/>
    <w:rsid w:val="00384911"/>
    <w:rsid w:val="00393DB9"/>
    <w:rsid w:val="004165A3"/>
    <w:rsid w:val="004508A6"/>
    <w:rsid w:val="00515E4E"/>
    <w:rsid w:val="005266F3"/>
    <w:rsid w:val="005B683F"/>
    <w:rsid w:val="006102A9"/>
    <w:rsid w:val="00700D08"/>
    <w:rsid w:val="00762C08"/>
    <w:rsid w:val="00772A6B"/>
    <w:rsid w:val="00774A9E"/>
    <w:rsid w:val="00820696"/>
    <w:rsid w:val="00852755"/>
    <w:rsid w:val="00895E15"/>
    <w:rsid w:val="008977E3"/>
    <w:rsid w:val="00952FAE"/>
    <w:rsid w:val="00980A29"/>
    <w:rsid w:val="00A15EB6"/>
    <w:rsid w:val="00A91BC3"/>
    <w:rsid w:val="00AB5BFC"/>
    <w:rsid w:val="00AE6150"/>
    <w:rsid w:val="00AF0811"/>
    <w:rsid w:val="00B14FA8"/>
    <w:rsid w:val="00B62F7D"/>
    <w:rsid w:val="00B64FD7"/>
    <w:rsid w:val="00C57390"/>
    <w:rsid w:val="00C943F0"/>
    <w:rsid w:val="00CD3FBA"/>
    <w:rsid w:val="00CE0228"/>
    <w:rsid w:val="00D945C3"/>
    <w:rsid w:val="00D94DE0"/>
    <w:rsid w:val="00DD513E"/>
    <w:rsid w:val="00DF2B1B"/>
    <w:rsid w:val="00E03CE8"/>
    <w:rsid w:val="00E47CB5"/>
    <w:rsid w:val="00EF24AD"/>
    <w:rsid w:val="00F30972"/>
    <w:rsid w:val="00FF616B"/>
    <w:rsid w:val="2AD45778"/>
    <w:rsid w:val="32040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Balloon Text"/>
    <w:basedOn w:val="1"/>
    <w:link w:val="16"/>
    <w:semiHidden/>
    <w:unhideWhenUsed/>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7"/>
    <w:uiPriority w:val="0"/>
    <w:rPr>
      <w:rFonts w:ascii="Times New Roman" w:hAnsi="Times New Roman" w:eastAsia="宋体" w:cs="Times New Roman"/>
      <w:sz w:val="18"/>
      <w:szCs w:val="18"/>
    </w:rPr>
  </w:style>
  <w:style w:type="character" w:customStyle="1" w:styleId="12">
    <w:name w:val="页脚 字符"/>
    <w:basedOn w:val="9"/>
    <w:link w:val="6"/>
    <w:qFormat/>
    <w:uiPriority w:val="99"/>
    <w:rPr>
      <w:rFonts w:ascii="Times New Roman" w:hAnsi="Times New Roman" w:eastAsia="宋体" w:cs="Times New Roman"/>
      <w:sz w:val="18"/>
      <w:szCs w:val="18"/>
    </w:rPr>
  </w:style>
  <w:style w:type="character" w:customStyle="1" w:styleId="13">
    <w:name w:val="标题 1 字符"/>
    <w:basedOn w:val="9"/>
    <w:link w:val="2"/>
    <w:qFormat/>
    <w:uiPriority w:val="9"/>
    <w:rPr>
      <w:rFonts w:ascii="宋体" w:hAnsi="宋体" w:eastAsia="宋体" w:cs="宋体"/>
      <w:b/>
      <w:bCs/>
      <w:kern w:val="36"/>
      <w:sz w:val="48"/>
      <w:szCs w:val="48"/>
    </w:rPr>
  </w:style>
  <w:style w:type="character" w:customStyle="1" w:styleId="14">
    <w:name w:val="标题 3 字符"/>
    <w:basedOn w:val="9"/>
    <w:link w:val="3"/>
    <w:qFormat/>
    <w:uiPriority w:val="9"/>
    <w:rPr>
      <w:rFonts w:ascii="Times New Roman" w:hAnsi="Times New Roman" w:eastAsia="宋体" w:cs="Times New Roman"/>
      <w:b/>
      <w:bCs/>
      <w:sz w:val="32"/>
      <w:szCs w:val="32"/>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批注框文本 字符"/>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621</Words>
  <Characters>3546</Characters>
  <Lines>29</Lines>
  <Paragraphs>8</Paragraphs>
  <TotalTime>205</TotalTime>
  <ScaleCrop>false</ScaleCrop>
  <LinksUpToDate>false</LinksUpToDate>
  <CharactersWithSpaces>4159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2018-08-01T03:54:00Z</dcterms:created>
  <dc:creator>zh</dc:creator>
  <cp:lastModifiedBy>WSJ</cp:lastModifiedBy>
  <cp:lastPrinted>2020-12-07T07:46:00Z</cp:lastPrinted>
  <dcterms:modified xsi:type="dcterms:W3CDTF">2020-12-20T12:05:33Z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